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36"/>
          <w:szCs w:val="36"/>
        </w:rPr>
      </w:pPr>
      <w:bookmarkStart w:id="18" w:name="_GoBack"/>
      <w:bookmarkEnd w:id="18"/>
    </w:p>
    <w:p>
      <w:pPr>
        <w:jc w:val="center"/>
        <w:rPr>
          <w:rFonts w:ascii="宋体" w:hAnsi="宋体" w:eastAsia="宋体" w:cs="Arial"/>
          <w:b/>
          <w:bCs/>
          <w:sz w:val="36"/>
          <w:szCs w:val="36"/>
        </w:rPr>
      </w:pPr>
    </w:p>
    <w:p>
      <w:pPr>
        <w:jc w:val="center"/>
        <w:rPr>
          <w:rFonts w:ascii="宋体" w:hAnsi="宋体" w:eastAsia="宋体" w:cs="Arial"/>
          <w:b/>
          <w:bCs/>
          <w:sz w:val="36"/>
          <w:szCs w:val="36"/>
        </w:rPr>
      </w:pPr>
    </w:p>
    <w:p>
      <w:pPr>
        <w:spacing w:line="240" w:lineRule="atLeast"/>
        <w:ind w:firstLine="0" w:firstLineChars="0"/>
        <w:jc w:val="center"/>
        <w:rPr>
          <w:rFonts w:hint="eastAsia" w:ascii="黑体" w:hAnsi="黑体" w:eastAsia="黑体" w:cs="黑体"/>
          <w:b/>
          <w:bCs/>
          <w:sz w:val="44"/>
          <w:szCs w:val="44"/>
        </w:rPr>
      </w:pPr>
      <w:r>
        <w:rPr>
          <w:rFonts w:hint="eastAsia" w:ascii="黑体" w:hAnsi="黑体" w:eastAsia="黑体" w:cs="黑体"/>
          <w:b/>
          <w:bCs/>
          <w:sz w:val="44"/>
          <w:szCs w:val="44"/>
        </w:rPr>
        <w:t>城市公共设施综合业务经费</w:t>
      </w:r>
    </w:p>
    <w:p>
      <w:pPr>
        <w:spacing w:line="240" w:lineRule="atLeast"/>
        <w:ind w:firstLine="0" w:firstLineChars="0"/>
        <w:jc w:val="center"/>
        <w:rPr>
          <w:rFonts w:ascii="黑体" w:hAnsi="黑体" w:eastAsia="黑体" w:cs="黑体"/>
          <w:b/>
          <w:bCs/>
          <w:sz w:val="44"/>
          <w:szCs w:val="44"/>
        </w:rPr>
      </w:pPr>
      <w:r>
        <w:rPr>
          <w:rFonts w:hint="eastAsia" w:ascii="黑体" w:hAnsi="黑体" w:eastAsia="黑体" w:cs="黑体"/>
          <w:b/>
          <w:bCs/>
          <w:sz w:val="44"/>
          <w:szCs w:val="44"/>
        </w:rPr>
        <w:t>项目支出绩效评价报告</w:t>
      </w:r>
    </w:p>
    <w:p>
      <w:pPr>
        <w:spacing w:line="240" w:lineRule="atLeast"/>
        <w:ind w:firstLine="883"/>
        <w:jc w:val="center"/>
        <w:rPr>
          <w:rFonts w:ascii="宋体" w:hAnsi="宋体" w:eastAsia="宋体" w:cs="Arial"/>
          <w:b/>
          <w:bCs/>
          <w:sz w:val="44"/>
          <w:szCs w:val="44"/>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uto"/>
        <w:jc w:val="center"/>
        <w:rPr>
          <w:rFonts w:ascii="宋体" w:hAnsi="宋体" w:eastAsia="宋体" w:cs="Arial"/>
          <w:b/>
          <w:bCs/>
          <w:sz w:val="36"/>
          <w:szCs w:val="36"/>
        </w:rPr>
      </w:pPr>
    </w:p>
    <w:p>
      <w:pPr>
        <w:pStyle w:val="6"/>
        <w:ind w:firstLine="560"/>
      </w:pPr>
    </w:p>
    <w:p>
      <w:pPr>
        <w:spacing w:line="360" w:lineRule="auto"/>
        <w:ind w:firstLine="640"/>
        <w:rPr>
          <w:rFonts w:hint="eastAsia" w:ascii="黑体" w:eastAsia="黑体"/>
          <w:sz w:val="32"/>
          <w:szCs w:val="32"/>
        </w:rPr>
      </w:pPr>
      <w:r>
        <w:rPr>
          <w:rFonts w:hint="eastAsia" w:ascii="黑体" w:eastAsia="黑体"/>
          <w:sz w:val="32"/>
          <w:szCs w:val="32"/>
        </w:rPr>
        <w:t>项目名称：城市公共设施综合业务经费</w:t>
      </w:r>
    </w:p>
    <w:p>
      <w:pPr>
        <w:spacing w:line="360" w:lineRule="auto"/>
        <w:ind w:firstLine="640"/>
        <w:rPr>
          <w:rFonts w:hint="eastAsia" w:ascii="黑体" w:eastAsia="黑体"/>
          <w:sz w:val="32"/>
          <w:szCs w:val="32"/>
        </w:rPr>
      </w:pPr>
      <w:r>
        <w:rPr>
          <w:rFonts w:hint="eastAsia" w:ascii="黑体" w:eastAsia="黑体"/>
          <w:sz w:val="32"/>
          <w:szCs w:val="32"/>
        </w:rPr>
        <w:t>实施单位（公章）：托克逊县住房和城乡建设局</w:t>
      </w:r>
    </w:p>
    <w:p>
      <w:pPr>
        <w:spacing w:line="360" w:lineRule="auto"/>
        <w:ind w:firstLine="640"/>
        <w:rPr>
          <w:rFonts w:hint="eastAsia" w:ascii="黑体" w:eastAsia="黑体"/>
          <w:sz w:val="32"/>
          <w:szCs w:val="32"/>
          <w:lang w:eastAsia="zh-CN"/>
        </w:rPr>
      </w:pPr>
      <w:r>
        <w:rPr>
          <w:rFonts w:hint="eastAsia" w:ascii="黑体" w:eastAsia="黑体"/>
          <w:sz w:val="32"/>
          <w:szCs w:val="32"/>
        </w:rPr>
        <w:t>项目负责人（签章）：</w:t>
      </w:r>
      <w:r>
        <w:rPr>
          <w:rFonts w:hint="eastAsia" w:ascii="黑体" w:eastAsia="黑体"/>
          <w:sz w:val="32"/>
          <w:szCs w:val="32"/>
          <w:lang w:eastAsia="zh-CN"/>
        </w:rPr>
        <w:t>李想</w:t>
      </w:r>
    </w:p>
    <w:p>
      <w:pPr>
        <w:spacing w:line="360" w:lineRule="auto"/>
        <w:ind w:firstLine="640"/>
        <w:rPr>
          <w:rFonts w:hint="eastAsia" w:ascii="黑体" w:eastAsia="黑体"/>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cols w:space="720" w:num="1"/>
          <w:docGrid w:type="lines" w:linePitch="408" w:charSpace="0"/>
        </w:sectPr>
      </w:pPr>
      <w:r>
        <w:rPr>
          <w:rFonts w:hint="eastAsia" w:ascii="黑体" w:eastAsia="黑体"/>
          <w:sz w:val="32"/>
          <w:szCs w:val="32"/>
        </w:rPr>
        <w:t>填报时间：202</w:t>
      </w:r>
      <w:r>
        <w:rPr>
          <w:rFonts w:hint="eastAsia" w:ascii="黑体" w:eastAsia="黑体"/>
          <w:sz w:val="32"/>
          <w:szCs w:val="32"/>
          <w:lang w:val="en-US" w:eastAsia="zh-CN"/>
        </w:rPr>
        <w:t>4</w:t>
      </w:r>
      <w:r>
        <w:rPr>
          <w:rFonts w:hint="eastAsia" w:ascii="黑体" w:eastAsia="黑体"/>
          <w:sz w:val="32"/>
          <w:szCs w:val="32"/>
        </w:rPr>
        <w:t>年</w:t>
      </w:r>
      <w:r>
        <w:rPr>
          <w:rFonts w:hint="eastAsia" w:ascii="黑体" w:eastAsia="黑体"/>
          <w:sz w:val="32"/>
          <w:szCs w:val="32"/>
          <w:lang w:val="en-US" w:eastAsia="zh-CN"/>
        </w:rPr>
        <w:t>4</w:t>
      </w:r>
      <w:r>
        <w:rPr>
          <w:rFonts w:hint="eastAsia" w:ascii="黑体" w:eastAsia="黑体"/>
          <w:sz w:val="32"/>
          <w:szCs w:val="32"/>
        </w:rPr>
        <w:t>月15日</w:t>
      </w:r>
    </w:p>
    <w:p>
      <w:pPr>
        <w:spacing w:line="240" w:lineRule="atLeast"/>
        <w:jc w:val="center"/>
        <w:rPr>
          <w:rFonts w:ascii="黑体" w:hAnsi="黑体" w:eastAsia="黑体" w:cs="黑体"/>
          <w:b/>
          <w:bCs/>
          <w:sz w:val="36"/>
          <w:szCs w:val="36"/>
        </w:rPr>
      </w:pPr>
      <w:r>
        <w:rPr>
          <w:rFonts w:hint="eastAsia" w:ascii="黑体" w:hAnsi="黑体" w:eastAsia="黑体" w:cs="黑体"/>
          <w:b/>
          <w:bCs/>
          <w:sz w:val="36"/>
          <w:szCs w:val="36"/>
        </w:rPr>
        <w:t>城市公共设施综合业务经费项目支出绩效评价报告</w:t>
      </w:r>
    </w:p>
    <w:p>
      <w:pPr>
        <w:pStyle w:val="4"/>
        <w:ind w:firstLine="640"/>
        <w:rPr>
          <w:rFonts w:hint="eastAsia"/>
        </w:rPr>
      </w:pPr>
    </w:p>
    <w:p>
      <w:pPr>
        <w:pStyle w:val="4"/>
        <w:ind w:firstLine="640"/>
      </w:pPr>
      <w:r>
        <w:rPr>
          <w:rFonts w:hint="eastAsia"/>
        </w:rPr>
        <w:t>一、基本情况</w:t>
      </w:r>
    </w:p>
    <w:p>
      <w:pPr>
        <w:pStyle w:val="6"/>
        <w:ind w:firstLine="560"/>
      </w:pPr>
      <w:r>
        <w:rPr>
          <w:rFonts w:hint="eastAsia"/>
          <w:lang w:eastAsia="zh-CN"/>
        </w:rPr>
        <w:t>（一）</w:t>
      </w:r>
      <w:r>
        <w:rPr>
          <w:rFonts w:hint="eastAsia"/>
        </w:rPr>
        <w:t>项目背景</w:t>
      </w:r>
    </w:p>
    <w:p>
      <w:pPr>
        <w:pStyle w:val="6"/>
        <w:ind w:firstLine="562"/>
        <w:rPr>
          <w:rFonts w:hint="eastAsia"/>
          <w:color w:val="auto"/>
          <w:highlight w:val="none"/>
        </w:rPr>
      </w:pPr>
      <w:r>
        <w:rPr>
          <w:rFonts w:hint="eastAsia"/>
          <w:color w:val="auto"/>
          <w:highlight w:val="none"/>
          <w:lang w:val="en-US" w:eastAsia="zh-CN"/>
        </w:rPr>
        <w:t>1.</w:t>
      </w:r>
      <w:r>
        <w:rPr>
          <w:rFonts w:hint="eastAsia"/>
          <w:color w:val="auto"/>
          <w:highlight w:val="none"/>
        </w:rPr>
        <w:t>项目概况</w:t>
      </w:r>
    </w:p>
    <w:p>
      <w:pPr>
        <w:ind w:firstLine="560"/>
      </w:pPr>
      <w:r>
        <w:rPr>
          <w:rFonts w:hint="eastAsia"/>
        </w:rPr>
        <w:t>为使保障县城所有道路照明路灯正常照明，开展对市政零星修复工程，促进全县城市公共设施正常使用，以及县城环境卫生的清洁度及环卫车辆的正常运转，促进城市的健康发展，打造一个宜居、宜业、宜游的美丽县城，经托克逊县财经领导小组研究通过在202</w:t>
      </w:r>
      <w:r>
        <w:rPr>
          <w:rFonts w:hint="eastAsia"/>
          <w:lang w:val="en-US" w:eastAsia="zh-CN"/>
        </w:rPr>
        <w:t>3</w:t>
      </w:r>
      <w:r>
        <w:rPr>
          <w:rFonts w:hint="eastAsia"/>
        </w:rPr>
        <w:t>年全年实施该项目。</w:t>
      </w:r>
    </w:p>
    <w:p>
      <w:pPr>
        <w:pStyle w:val="6"/>
        <w:ind w:firstLine="562"/>
        <w:rPr>
          <w:color w:val="auto"/>
          <w:highlight w:val="none"/>
        </w:rPr>
      </w:pPr>
      <w:r>
        <w:rPr>
          <w:rFonts w:hint="eastAsia"/>
          <w:color w:val="auto"/>
          <w:highlight w:val="none"/>
        </w:rPr>
        <w:t>2.项目实施主体</w:t>
      </w:r>
    </w:p>
    <w:p>
      <w:pPr>
        <w:ind w:firstLine="560"/>
        <w:rPr>
          <w:b/>
        </w:rPr>
      </w:pPr>
      <w:r>
        <w:rPr>
          <w:rFonts w:hint="eastAsia"/>
          <w:b/>
        </w:rPr>
        <w:t>（</w:t>
      </w:r>
      <w:r>
        <w:rPr>
          <w:rFonts w:hint="eastAsia"/>
          <w:b/>
          <w:lang w:val="en-US" w:eastAsia="zh-CN"/>
        </w:rPr>
        <w:t>1</w:t>
      </w:r>
      <w:r>
        <w:rPr>
          <w:rFonts w:hint="eastAsia"/>
          <w:b/>
        </w:rPr>
        <w:t>）单位职能</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pPr>
      <w:r>
        <w:rPr>
          <w:rFonts w:hint="eastAsia"/>
        </w:rPr>
        <w:t>贯彻执行《中华人民共和国城乡规划法》、《城市市容和环境卫生管理条例》、《城市绿化管理条例》、《城市道路管理条例》等住房和城乡建设的法律、法规、方针政策和相关文件。</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pPr>
      <w:r>
        <w:rPr>
          <w:rFonts w:hint="eastAsia"/>
        </w:rPr>
        <w:t>执行国家、 自治区建设事业 (包括县域村镇体系规划、县城总体规划、县域乡镇总体规划、县域村庄建设规划、近期建设规划和城区详细规划、依据《城市总体规划》完成住房建设规划、道路交通、绿地、抗震防灾、消防、供水、排水、供热、燃气、市容环卫、公共服务设施等专项规划、工程建设、城乡建设、</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pPr>
      <w:r>
        <w:rPr>
          <w:rFonts w:hint="eastAsia"/>
        </w:rPr>
        <w:t>村镇建设、建筑业、住宅和房地产、勘察设计咨询业、市政公用事等) 方针、政策和法律、法规。研究制定全县建设行业单位发展规划、年度计划、并组织监督实施。</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pPr>
      <w:r>
        <w:rPr>
          <w:rFonts w:hint="eastAsia"/>
        </w:rPr>
        <w:t>负责保障城镇低收入家庭住房的调查审核责任。</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pPr>
      <w:r>
        <w:rPr>
          <w:rFonts w:hint="eastAsia"/>
        </w:rPr>
        <w:t>承担推进住房制度改革的责任。</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pPr>
      <w:r>
        <w:rPr>
          <w:rFonts w:hint="eastAsia"/>
        </w:rPr>
        <w:t>负责规范住房和城乡建设管理秩序的责任。</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pPr>
      <w:r>
        <w:rPr>
          <w:rFonts w:hint="eastAsia"/>
        </w:rPr>
        <w:t>承办建立科学规范的住房和城乡建设地方标准体系的责任。组织拟定住房和城乡建设的地方性标准、拟订建设项目可行性研究报告平价方法、经济参数建设标准和工程造价的管理制度、拟定公共服务设施 (不含通讯设施) 建设标准并监督执行、指导监督各类工程建设标准定额实施和工程造价计价、组织发布</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pPr>
      <w:r>
        <w:rPr>
          <w:rFonts w:hint="eastAsia"/>
        </w:rPr>
        <w:t>工程造价信息。</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pPr>
      <w:r>
        <w:rPr>
          <w:rFonts w:hint="eastAsia"/>
        </w:rPr>
        <w:t>承担规范房地产市场秩序、监督管理房地产市场的责任。</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pPr>
      <w:r>
        <w:rPr>
          <w:rFonts w:hint="eastAsia"/>
        </w:rPr>
        <w:t>监督管理全县建筑市场、规范各方主体行为。</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pPr>
      <w:r>
        <w:rPr>
          <w:rFonts w:hint="eastAsia"/>
        </w:rPr>
        <w:t>制度城市建设的办法、规划并组织实施。</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pPr>
      <w:r>
        <w:rPr>
          <w:rFonts w:hint="eastAsia"/>
        </w:rPr>
        <w:t>负责规范和指导全县村镇建设的责任。</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pPr>
      <w:r>
        <w:rPr>
          <w:rFonts w:hint="eastAsia"/>
        </w:rPr>
        <w:t>承担建筑工程质量安全监督责任。</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pPr>
      <w:r>
        <w:rPr>
          <w:rFonts w:hint="eastAsia"/>
        </w:rPr>
        <w:t>综合管理城乡建设抗震减灾工作。</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pPr>
      <w:r>
        <w:rPr>
          <w:rFonts w:hint="eastAsia"/>
        </w:rPr>
        <w:t>承担推进建筑技能、城镇减排的责任。</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pPr>
      <w:r>
        <w:rPr>
          <w:rFonts w:hint="eastAsia"/>
        </w:rPr>
        <w:t>责任县住房制度改革领导小组的日常工作。</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pPr>
      <w:r>
        <w:rPr>
          <w:rFonts w:hint="eastAsia"/>
        </w:rPr>
        <w:t>增加国有土地上房屋征收与补偿管理职责。</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pPr>
      <w:r>
        <w:rPr>
          <w:rFonts w:hint="eastAsia"/>
        </w:rPr>
        <w:t>承办县人民政府交办的其他事项。</w:t>
      </w:r>
    </w:p>
    <w:p>
      <w:pPr>
        <w:ind w:firstLine="560"/>
        <w:rPr>
          <w:b/>
        </w:rPr>
      </w:pPr>
      <w:r>
        <w:rPr>
          <w:rFonts w:hint="eastAsia"/>
          <w:b/>
        </w:rPr>
        <w:t>（</w:t>
      </w:r>
      <w:r>
        <w:rPr>
          <w:rFonts w:hint="eastAsia"/>
          <w:b/>
          <w:lang w:val="en-US" w:eastAsia="zh-CN"/>
        </w:rPr>
        <w:t>2</w:t>
      </w:r>
      <w:r>
        <w:rPr>
          <w:rFonts w:hint="eastAsia"/>
          <w:b/>
        </w:rPr>
        <w:t>）机构设置及人员情况</w:t>
      </w:r>
    </w:p>
    <w:p>
      <w:pPr>
        <w:ind w:firstLine="560"/>
      </w:pPr>
      <w:r>
        <w:rPr>
          <w:rFonts w:hint="eastAsia"/>
        </w:rPr>
        <w:t>托克逊县住房和城乡建设局单位无下属预算单位，下设 6 个处室，分别是：住建局行政、市容环境卫生管理中心、园林绿化管理中心、建设工程质量安全监督站、房产管理局和国有土地上房屋征收与补偿管理办公室、城乡建设服务中心。托克逊县住房和城乡建设局单位编制数 113 人，实有人数473 人，其中：在职 438 人，增加 0 人；退休 35 人，增加 3 人；离休 0 人，增加 0 人。</w:t>
      </w:r>
    </w:p>
    <w:p>
      <w:pPr>
        <w:pStyle w:val="6"/>
        <w:ind w:firstLine="560"/>
      </w:pPr>
      <w:r>
        <w:rPr>
          <w:rFonts w:hint="eastAsia"/>
        </w:rPr>
        <w:t>3.主要内容及实施情况</w:t>
      </w:r>
    </w:p>
    <w:p>
      <w:pPr>
        <w:ind w:firstLine="560"/>
      </w:pPr>
      <w:r>
        <w:rPr>
          <w:rFonts w:hint="eastAsia"/>
        </w:rPr>
        <w:t>项目名称：城市公共设施综合业务经费项目</w:t>
      </w:r>
    </w:p>
    <w:p>
      <w:pPr>
        <w:ind w:firstLine="560"/>
        <w:rPr>
          <w:rFonts w:hint="eastAsia" w:eastAsia="仿宋_GB2312"/>
          <w:lang w:eastAsia="zh-CN"/>
        </w:rPr>
      </w:pPr>
      <w:r>
        <w:rPr>
          <w:rFonts w:hint="eastAsia"/>
        </w:rPr>
        <w:t>项目主要内容：</w:t>
      </w:r>
      <w:r>
        <w:rPr>
          <w:rFonts w:hint="eastAsia" w:ascii="Times New Roman" w:hAnsi="Times New Roman" w:cs="Times New Roman"/>
          <w:lang w:eastAsia="zh-CN"/>
        </w:rPr>
        <w:t>（</w:t>
      </w:r>
      <w:r>
        <w:rPr>
          <w:rFonts w:hint="eastAsia" w:ascii="Times New Roman" w:hAnsi="Times New Roman" w:cs="Times New Roman"/>
          <w:lang w:val="en-US" w:eastAsia="zh-CN"/>
        </w:rPr>
        <w:t>1</w:t>
      </w:r>
      <w:r>
        <w:rPr>
          <w:rFonts w:hint="eastAsia" w:ascii="Times New Roman" w:hAnsi="Times New Roman" w:cs="Times New Roman"/>
          <w:lang w:eastAsia="zh-CN"/>
        </w:rPr>
        <w:t>）</w:t>
      </w:r>
      <w:r>
        <w:rPr>
          <w:rFonts w:hint="eastAsia" w:ascii="Times New Roman" w:hAnsi="Times New Roman" w:cs="Times New Roman"/>
        </w:rPr>
        <w:t>保障县城所有道路照明路灯正常照明</w:t>
      </w:r>
      <w:r>
        <w:rPr>
          <w:rFonts w:hint="eastAsia" w:ascii="Times New Roman" w:hAnsi="Times New Roman" w:cs="Times New Roman"/>
          <w:lang w:eastAsia="zh-CN"/>
        </w:rPr>
        <w:t>；（</w:t>
      </w:r>
      <w:r>
        <w:rPr>
          <w:rFonts w:hint="eastAsia" w:ascii="Times New Roman" w:hAnsi="Times New Roman" w:cs="Times New Roman"/>
          <w:lang w:val="en-US" w:eastAsia="zh-CN"/>
        </w:rPr>
        <w:t>2</w:t>
      </w:r>
      <w:r>
        <w:rPr>
          <w:rFonts w:hint="eastAsia" w:ascii="Times New Roman" w:hAnsi="Times New Roman" w:cs="Times New Roman"/>
          <w:lang w:eastAsia="zh-CN"/>
        </w:rPr>
        <w:t>）</w:t>
      </w:r>
      <w:r>
        <w:rPr>
          <w:rFonts w:hint="eastAsia" w:ascii="Times New Roman" w:hAnsi="Times New Roman" w:cs="Times New Roman"/>
        </w:rPr>
        <w:t>开展对市政零星修复工程、路面维修等城市公共基础设施维护，保障全县城市公共设施正常运行；</w:t>
      </w:r>
      <w:r>
        <w:rPr>
          <w:rFonts w:hint="eastAsia" w:ascii="Times New Roman" w:hAnsi="Times New Roman" w:cs="Times New Roman"/>
          <w:lang w:eastAsia="zh-CN"/>
        </w:rPr>
        <w:t>（</w:t>
      </w:r>
      <w:r>
        <w:rPr>
          <w:rFonts w:hint="eastAsia" w:ascii="Times New Roman" w:hAnsi="Times New Roman" w:cs="Times New Roman"/>
          <w:lang w:val="en-US" w:eastAsia="zh-CN"/>
        </w:rPr>
        <w:t>3</w:t>
      </w:r>
      <w:r>
        <w:rPr>
          <w:rFonts w:hint="eastAsia" w:ascii="Times New Roman" w:hAnsi="Times New Roman" w:cs="Times New Roman"/>
          <w:lang w:eastAsia="zh-CN"/>
        </w:rPr>
        <w:t>）开展</w:t>
      </w:r>
      <w:r>
        <w:rPr>
          <w:rFonts w:hint="eastAsia"/>
        </w:rPr>
        <w:t>城区绿化补种植</w:t>
      </w:r>
      <w:r>
        <w:rPr>
          <w:rFonts w:hint="eastAsia"/>
          <w:lang w:eastAsia="zh-CN"/>
        </w:rPr>
        <w:t>工作，</w:t>
      </w:r>
      <w:r>
        <w:rPr>
          <w:rFonts w:hint="eastAsia" w:ascii="Times New Roman" w:hAnsi="Times New Roman" w:cs="Times New Roman"/>
        </w:rPr>
        <w:t>提高城区绿化覆盖率</w:t>
      </w:r>
      <w:r>
        <w:rPr>
          <w:rFonts w:hint="eastAsia" w:ascii="Times New Roman" w:hAnsi="Times New Roman" w:cs="Times New Roman"/>
          <w:lang w:eastAsia="zh-CN"/>
        </w:rPr>
        <w:t>；（</w:t>
      </w:r>
      <w:r>
        <w:rPr>
          <w:rFonts w:hint="eastAsia" w:ascii="Times New Roman" w:hAnsi="Times New Roman" w:cs="Times New Roman"/>
          <w:lang w:val="en-US" w:eastAsia="zh-CN"/>
        </w:rPr>
        <w:t>4</w:t>
      </w:r>
      <w:r>
        <w:rPr>
          <w:rFonts w:hint="eastAsia" w:ascii="Times New Roman" w:hAnsi="Times New Roman" w:cs="Times New Roman"/>
          <w:lang w:eastAsia="zh-CN"/>
        </w:rPr>
        <w:t>）保障</w:t>
      </w:r>
      <w:r>
        <w:rPr>
          <w:rFonts w:hint="eastAsia" w:ascii="Times New Roman" w:hAnsi="Times New Roman" w:cs="Times New Roman"/>
        </w:rPr>
        <w:t>单位全年特种作业车辆正常运转，保障环卫、绿化用车油料费用及日常维修维护</w:t>
      </w:r>
      <w:r>
        <w:rPr>
          <w:rFonts w:hint="eastAsia"/>
          <w:lang w:eastAsia="zh-CN"/>
        </w:rPr>
        <w:t>。</w:t>
      </w:r>
    </w:p>
    <w:p>
      <w:pPr>
        <w:pStyle w:val="6"/>
        <w:ind w:firstLine="560"/>
        <w:rPr>
          <w:b w:val="0"/>
          <w:bCs w:val="0"/>
        </w:rPr>
      </w:pPr>
      <w:r>
        <w:rPr>
          <w:rFonts w:hint="eastAsia"/>
          <w:b w:val="0"/>
          <w:bCs w:val="0"/>
        </w:rPr>
        <w:t>项目实施时间：本项目实施时间为202</w:t>
      </w:r>
      <w:r>
        <w:rPr>
          <w:rFonts w:hint="eastAsia"/>
          <w:b w:val="0"/>
          <w:bCs w:val="0"/>
          <w:lang w:val="en-US" w:eastAsia="zh-CN"/>
        </w:rPr>
        <w:t>3</w:t>
      </w:r>
      <w:r>
        <w:rPr>
          <w:rFonts w:hint="eastAsia"/>
          <w:b w:val="0"/>
          <w:bCs w:val="0"/>
        </w:rPr>
        <w:t>年1月-202</w:t>
      </w:r>
      <w:r>
        <w:rPr>
          <w:rFonts w:hint="eastAsia"/>
          <w:b w:val="0"/>
          <w:bCs w:val="0"/>
          <w:lang w:val="en-US" w:eastAsia="zh-CN"/>
        </w:rPr>
        <w:t>3</w:t>
      </w:r>
      <w:r>
        <w:rPr>
          <w:rFonts w:hint="eastAsia"/>
          <w:b w:val="0"/>
          <w:bCs w:val="0"/>
        </w:rPr>
        <w:t>年12月</w:t>
      </w:r>
    </w:p>
    <w:p>
      <w:pPr>
        <w:ind w:firstLine="560"/>
        <w:rPr>
          <w:rFonts w:hint="eastAsia" w:ascii="仿宋_GB2312" w:hAnsi="仿宋_GB2312" w:eastAsia="仿宋_GB2312" w:cs="Times New Roman"/>
          <w:b w:val="0"/>
          <w:bCs w:val="0"/>
          <w:kern w:val="0"/>
          <w:sz w:val="28"/>
          <w:szCs w:val="32"/>
          <w:lang w:val="en-US" w:eastAsia="zh-CN" w:bidi="ar-SA"/>
        </w:rPr>
      </w:pPr>
      <w:r>
        <w:rPr>
          <w:rFonts w:hint="eastAsia" w:ascii="仿宋_GB2312" w:hAnsi="仿宋_GB2312" w:eastAsia="仿宋_GB2312" w:cs="Times New Roman"/>
          <w:b w:val="0"/>
          <w:bCs w:val="0"/>
          <w:kern w:val="0"/>
          <w:sz w:val="28"/>
          <w:szCs w:val="32"/>
          <w:lang w:val="en-US" w:eastAsia="zh-CN" w:bidi="ar-SA"/>
        </w:rPr>
        <w:t>项目实施情况：</w:t>
      </w:r>
    </w:p>
    <w:p>
      <w:pPr>
        <w:pStyle w:val="6"/>
        <w:numPr>
          <w:ilvl w:val="0"/>
          <w:numId w:val="2"/>
        </w:numPr>
        <w:ind w:firstLine="560"/>
        <w:rPr>
          <w:rFonts w:hint="eastAsia" w:cs="Times New Roman"/>
          <w:b w:val="0"/>
          <w:bCs w:val="0"/>
          <w:kern w:val="0"/>
          <w:sz w:val="28"/>
          <w:szCs w:val="32"/>
          <w:lang w:val="en-US" w:eastAsia="zh-CN" w:bidi="ar-SA"/>
        </w:rPr>
      </w:pPr>
      <w:r>
        <w:rPr>
          <w:rFonts w:hint="eastAsia" w:ascii="仿宋_GB2312" w:hAnsi="仿宋_GB2312" w:cs="Times New Roman"/>
          <w:b w:val="0"/>
          <w:bCs w:val="0"/>
          <w:kern w:val="0"/>
          <w:sz w:val="28"/>
          <w:szCs w:val="32"/>
          <w:lang w:val="en-US" w:eastAsia="zh-CN" w:bidi="ar-SA"/>
        </w:rPr>
        <w:t>保障县城2800余盏路灯正常照明，</w:t>
      </w:r>
      <w:r>
        <w:rPr>
          <w:rFonts w:hint="eastAsia" w:ascii="仿宋_GB2312" w:hAnsi="仿宋_GB2312" w:eastAsia="仿宋_GB2312" w:cs="Times New Roman"/>
          <w:b w:val="0"/>
          <w:bCs w:val="0"/>
          <w:kern w:val="0"/>
          <w:sz w:val="28"/>
          <w:szCs w:val="32"/>
          <w:lang w:val="en-US" w:eastAsia="zh-CN" w:bidi="ar-SA"/>
        </w:rPr>
        <w:t>维修安装道路路灯180余盏，维修安装红绿灯50余次，维修安装配电柜20余次，更换老旧电缆1850余米、安装穿线管1850余米及其他附属配件。为提升城市品质，规范交通秩序，打造平安、有序、规范的托克逊，今年来完成城区道路护栏安装12千米，完成新农村道路太阳能路灯安装449盏</w:t>
      </w:r>
      <w:r>
        <w:rPr>
          <w:rFonts w:hint="eastAsia" w:cs="Times New Roman"/>
          <w:b w:val="0"/>
          <w:bCs w:val="0"/>
          <w:kern w:val="0"/>
          <w:sz w:val="28"/>
          <w:szCs w:val="32"/>
          <w:lang w:val="en-US" w:eastAsia="zh-CN" w:bidi="ar-SA"/>
        </w:rPr>
        <w:t>。</w:t>
      </w:r>
    </w:p>
    <w:p>
      <w:pPr>
        <w:rPr>
          <w:rFonts w:hint="eastAsia" w:ascii="仿宋_GB2312" w:hAnsi="仿宋_GB2312" w:eastAsia="仿宋_GB2312" w:cs="Times New Roman"/>
          <w:b w:val="0"/>
          <w:bCs w:val="0"/>
          <w:kern w:val="0"/>
          <w:sz w:val="28"/>
          <w:szCs w:val="32"/>
          <w:lang w:val="en-US" w:eastAsia="zh-CN" w:bidi="ar-SA"/>
        </w:rPr>
      </w:pPr>
      <w:r>
        <w:rPr>
          <w:rFonts w:hint="eastAsia" w:ascii="仿宋_GB2312" w:hAnsi="仿宋_GB2312" w:cs="Times New Roman"/>
          <w:b w:val="0"/>
          <w:bCs w:val="0"/>
          <w:kern w:val="0"/>
          <w:sz w:val="28"/>
          <w:szCs w:val="32"/>
          <w:lang w:val="en-US" w:eastAsia="zh-CN" w:bidi="ar-SA"/>
        </w:rPr>
        <w:t>（2）</w:t>
      </w:r>
      <w:r>
        <w:rPr>
          <w:rFonts w:hint="eastAsia" w:ascii="仿宋_GB2312" w:hAnsi="仿宋_GB2312" w:eastAsia="仿宋_GB2312" w:cs="Times New Roman"/>
          <w:b w:val="0"/>
          <w:bCs w:val="0"/>
          <w:kern w:val="0"/>
          <w:sz w:val="28"/>
          <w:szCs w:val="32"/>
          <w:lang w:val="en-US" w:eastAsia="zh-CN" w:bidi="ar-SA"/>
        </w:rPr>
        <w:t>针对城市环境卫生综合性、广泛性、突出性等特点，按照无缝隙管理体系，对城市辖区主次、支道路的人工、机械化清扫、保洁、洗地、冲刷作业，以及日常重大活动保障等临时性工作。加大人员绩效考核力度</w:t>
      </w:r>
      <w:r>
        <w:rPr>
          <w:rFonts w:hint="eastAsia" w:cs="Times New Roman"/>
          <w:b w:val="0"/>
          <w:bCs w:val="0"/>
          <w:kern w:val="0"/>
          <w:sz w:val="28"/>
          <w:szCs w:val="32"/>
          <w:lang w:val="en-US" w:eastAsia="zh-CN" w:bidi="ar-SA"/>
        </w:rPr>
        <w:t>及50余辆环卫园林作业车辆和机械正常运行</w:t>
      </w:r>
      <w:r>
        <w:rPr>
          <w:rFonts w:hint="eastAsia" w:ascii="仿宋_GB2312" w:hAnsi="仿宋_GB2312" w:eastAsia="仿宋_GB2312" w:cs="Times New Roman"/>
          <w:b w:val="0"/>
          <w:bCs w:val="0"/>
          <w:kern w:val="0"/>
          <w:sz w:val="28"/>
          <w:szCs w:val="32"/>
          <w:lang w:val="en-US" w:eastAsia="zh-CN" w:bidi="ar-SA"/>
        </w:rPr>
        <w:t>，使其做到清扫保洁全覆盖、无死角，清扫保洁率达100%，划定职责区，实现全收集，密闭化清运率达到100%。执行除尘错时制，每日3至4次对城市道路、各社区平房区进行洒水除尘，全力做好“冲洗防尘”作业。到目前无害化处理生活垃圾1.9万吨，无害化处理率100%。结合农村人居环境综合整治工作的总体部署，推动人居环境由“清脏”“治乱”拓展。制定工作方案，以村级保洁员等人员队伍为主体，开展农村环境卫生集中大整治活动，重点对主要路段、房前屋后垃圾乱倒、柴草乱堆等“脏乱差”突出问题进行整治。组织整治活动87场次、18971人次，共整治70余条巷道，清理沟渠、林带约570公里，清扫主要道路882余公里，清理林带各类垃圾2.1万余吨，清运处置生活垃圾约8312吨，对3处垃圾堆放点2.18万方垃圾进行清理；深化农村人居环境整治，规范农村生活垃圾收集、转运、处理体系，加强对生活垃圾收运处置体系的监督指导，伊拉湖镇、博斯坦镇、夏镇、郭勒布依乡四个乡镇所产生的生活垃圾统一运送至县垃圾场处理，到目前无害化处理生活垃圾约640吨；打造伊拉湖镇依提帕克村为自治区级乡村振兴示范村。指导该村每家至少设置2个小垃圾桶，巷道每50米至少有1个垃圾桶，每个小组设置移动环卫垃圾箱1个，购置摆臂式垃圾车、洒水车各1辆，安排专人定期进行垃圾清运和巷道洒水；推动垃圾分类工作。在大十字、滨河路（示范街区）设置2处宣传工作台，通过微信、横幅、宣传单等方式，宣传《城市市容和环境卫生管理条例》《吐鲁番市城乡环境卫生管理条例》《垃圾分类倡议书》等内容，其间发放宣传资料1800余份。根据我县实际配备城乡专职环卫保洁和垃圾收运员484名，按照“试点巩固、普及推广、全域覆盖”步骤，已选取2个住宅小区、3个机关单位、1家医院、1所学校和2个社区先行开展生活垃圾分类示范片区建设。现已建成标准化生活垃圾填埋场1座、垃圾中转站4座、在建生活垃圾填埋场2座，配备660升垃圾桶101个、垃圾车3辆。有序淘汰钩臂车、船式垃圾箱等与垃圾分类不适用的老旧设施设备615余台（套）。</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_GB2312" w:hAnsi="仿宋_GB2312" w:eastAsia="仿宋_GB2312" w:cs="Times New Roman"/>
          <w:b w:val="0"/>
          <w:bCs w:val="0"/>
          <w:kern w:val="0"/>
          <w:sz w:val="28"/>
          <w:szCs w:val="32"/>
          <w:lang w:val="en-US" w:eastAsia="zh-CN" w:bidi="ar-SA"/>
        </w:rPr>
      </w:pPr>
      <w:r>
        <w:rPr>
          <w:rFonts w:hint="eastAsia"/>
          <w:lang w:val="en-US" w:eastAsia="zh-CN"/>
        </w:rPr>
        <w:t>（3）</w:t>
      </w:r>
      <w:r>
        <w:rPr>
          <w:rFonts w:hint="eastAsia" w:ascii="仿宋_GB2312" w:hAnsi="仿宋_GB2312" w:eastAsia="仿宋_GB2312" w:cs="Times New Roman"/>
          <w:b w:val="0"/>
          <w:bCs w:val="0"/>
          <w:kern w:val="0"/>
          <w:sz w:val="28"/>
          <w:szCs w:val="32"/>
          <w:lang w:val="en-US" w:eastAsia="zh-CN" w:bidi="ar-SA"/>
        </w:rPr>
        <w:t>一是合理布局，扎实做好增绿补绿。利用春季绿化时机，完成城区</w:t>
      </w:r>
      <w:r>
        <w:rPr>
          <w:rFonts w:hint="eastAsia" w:ascii="仿宋_GB2312" w:hAnsi="仿宋_GB2312" w:cs="Times New Roman"/>
          <w:b w:val="0"/>
          <w:bCs w:val="0"/>
          <w:kern w:val="0"/>
          <w:sz w:val="28"/>
          <w:szCs w:val="32"/>
          <w:lang w:val="en-US" w:eastAsia="zh-CN" w:bidi="ar-SA"/>
        </w:rPr>
        <w:t>新增</w:t>
      </w:r>
      <w:r>
        <w:rPr>
          <w:rFonts w:hint="eastAsia" w:ascii="仿宋_GB2312" w:hAnsi="仿宋_GB2312" w:eastAsia="仿宋_GB2312" w:cs="Times New Roman"/>
          <w:b w:val="0"/>
          <w:bCs w:val="0"/>
          <w:kern w:val="0"/>
          <w:sz w:val="28"/>
          <w:szCs w:val="32"/>
          <w:lang w:val="en-US" w:eastAsia="zh-CN" w:bidi="ar-SA"/>
        </w:rPr>
        <w:t>绿化补植补栽</w:t>
      </w:r>
      <w:r>
        <w:rPr>
          <w:rFonts w:hint="eastAsia" w:ascii="仿宋_GB2312" w:hAnsi="仿宋_GB2312" w:cs="Times New Roman"/>
          <w:b w:val="0"/>
          <w:bCs w:val="0"/>
          <w:kern w:val="0"/>
          <w:sz w:val="28"/>
          <w:szCs w:val="32"/>
          <w:lang w:val="en-US" w:eastAsia="zh-CN" w:bidi="ar-SA"/>
        </w:rPr>
        <w:t>面积500平方米</w:t>
      </w:r>
      <w:r>
        <w:rPr>
          <w:rFonts w:hint="eastAsia" w:ascii="仿宋_GB2312" w:hAnsi="仿宋_GB2312" w:eastAsia="仿宋_GB2312" w:cs="Times New Roman"/>
          <w:b w:val="0"/>
          <w:bCs w:val="0"/>
          <w:kern w:val="0"/>
          <w:sz w:val="28"/>
          <w:szCs w:val="32"/>
          <w:lang w:val="en-US" w:eastAsia="zh-CN" w:bidi="ar-SA"/>
        </w:rPr>
        <w:t>。主要完成友好路、人民路、和谐路、滨河路、解放路、团结路、外环路、合欢公园、胡杨公园、玫瑰公园及街头绿地等补植补栽，新建道路中山路、纬一路、经三路、南疆路等道路绿化。共种植乔木15421棵、灌木128.641万株；种植草花五叶地棉（爬山虎）500株、地被菊17.5万株、大花萱草7000株、玫瑰8万株；二是今年以来，完成源泉一期、胡杨公园、滨河文化路两侧、交通局东侧位置、新华书店前等一批集生态、文化、休闲、健身等功能于一体的口袋公园，有效解决了在高密度城市中市民对休憩环境的需求。同时完成白杨河公园、滨河两侧口袋公园、交通局、胡杨公园路体育器材安装5套60组；三是开展城市绿地外来入侵物种普查工作。以中心城区内城市绿地中有代表性的绿地为关键节点，确定踏查点67个。踏查路线和踏查点覆盖普查范围内的公园、居住区、道路、区域所有绿地类型，占比50.3%。其中：覆盖的公园绿地11个，占52.3%；居住区15个，占50%；道路与交通设施用地18条（段），占50%；区域绿地23个，占50%。完成普查工作报告编制。全面摸清城市绿地重点外来入侵物种相关情况，为外来入侵物种防控工作提供准确的基础支撑；四是对城区的古树名木再次全面普查，实施完成了古树名木“一树一策”保护并建立2处古树名木群落，10株古树名木普查及28株重新更换了保护标牌，完善了古树名木档案。</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pPr>
      <w:r>
        <w:rPr>
          <w:rFonts w:hint="eastAsia" w:ascii="仿宋_GB2312" w:hAnsi="仿宋_GB2312" w:cs="Times New Roman"/>
          <w:b w:val="0"/>
          <w:bCs w:val="0"/>
          <w:kern w:val="0"/>
          <w:sz w:val="28"/>
          <w:szCs w:val="32"/>
          <w:lang w:val="en-US" w:eastAsia="zh-CN" w:bidi="ar-SA"/>
        </w:rPr>
        <w:t>（4）</w:t>
      </w:r>
      <w:r>
        <w:rPr>
          <w:rFonts w:hint="eastAsia" w:ascii="仿宋_GB2312" w:hAnsi="仿宋_GB2312" w:eastAsia="仿宋_GB2312" w:cs="Times New Roman"/>
          <w:b w:val="0"/>
          <w:bCs w:val="0"/>
          <w:kern w:val="0"/>
          <w:sz w:val="28"/>
          <w:szCs w:val="32"/>
          <w:lang w:val="en-US" w:eastAsia="zh-CN" w:bidi="ar-SA"/>
        </w:rPr>
        <w:t>截止2023年底，项目的实施加快我县城市容貌建设，完善城市功能，推进城市亮化进程，做好市政公用设施管理建设工作，今年以来维修破损路面及人行道11000余㎡、更换原有红绿灯信号线840米、维护红绿灯指示牌3个、更换道路中央护栏12节，维护更换各类井盖140余个</w:t>
      </w:r>
      <w:r>
        <w:rPr>
          <w:rFonts w:hint="eastAsia" w:ascii="仿宋_GB2312" w:hAnsi="仿宋_GB2312" w:cs="Times New Roman"/>
          <w:b w:val="0"/>
          <w:bCs w:val="0"/>
          <w:kern w:val="0"/>
          <w:sz w:val="28"/>
          <w:szCs w:val="32"/>
          <w:lang w:val="en-US" w:eastAsia="zh-CN" w:bidi="ar-SA"/>
        </w:rPr>
        <w:t>，</w:t>
      </w:r>
      <w:r>
        <w:rPr>
          <w:rFonts w:hint="eastAsia" w:ascii="仿宋_GB2312" w:hAnsi="仿宋_GB2312" w:eastAsia="仿宋_GB2312" w:cs="Times New Roman"/>
          <w:b w:val="0"/>
          <w:bCs w:val="0"/>
          <w:kern w:val="0"/>
          <w:sz w:val="28"/>
          <w:szCs w:val="32"/>
          <w:lang w:val="en-US" w:eastAsia="zh-CN" w:bidi="ar-SA"/>
        </w:rPr>
        <w:t>总共进行市政修复工程数量</w:t>
      </w:r>
      <w:r>
        <w:rPr>
          <w:rFonts w:hint="eastAsia" w:ascii="仿宋_GB2312" w:hAnsi="仿宋_GB2312" w:cs="Times New Roman"/>
          <w:b w:val="0"/>
          <w:bCs w:val="0"/>
          <w:kern w:val="0"/>
          <w:sz w:val="28"/>
          <w:szCs w:val="32"/>
          <w:lang w:val="en-US" w:eastAsia="zh-CN" w:bidi="ar-SA"/>
        </w:rPr>
        <w:t>达到98次以上。</w:t>
      </w:r>
      <w:r>
        <w:rPr>
          <w:rFonts w:hint="eastAsia"/>
          <w:lang w:val="en-US" w:eastAsia="zh-CN"/>
        </w:rPr>
        <w:t xml:space="preserve">       </w:t>
      </w:r>
    </w:p>
    <w:p>
      <w:pPr>
        <w:pStyle w:val="6"/>
        <w:numPr>
          <w:ilvl w:val="0"/>
          <w:numId w:val="0"/>
        </w:numPr>
        <w:ind w:firstLine="562" w:firstLineChars="200"/>
      </w:pPr>
      <w:r>
        <w:rPr>
          <w:rFonts w:hint="eastAsia"/>
        </w:rPr>
        <w:t>4.资金投入和使用情况</w:t>
      </w:r>
    </w:p>
    <w:p>
      <w:pPr>
        <w:ind w:firstLine="562"/>
        <w:rPr>
          <w:rFonts w:ascii="仿宋" w:hAnsi="仿宋" w:eastAsia="仿宋"/>
          <w:b/>
        </w:rPr>
      </w:pPr>
      <w:r>
        <w:rPr>
          <w:rFonts w:hint="eastAsia" w:ascii="仿宋" w:hAnsi="仿宋" w:eastAsia="仿宋"/>
          <w:b/>
        </w:rPr>
        <w:t>（1）项目资金安排落实、总投入等情况分析</w:t>
      </w:r>
    </w:p>
    <w:p>
      <w:pPr>
        <w:ind w:firstLine="560"/>
      </w:pPr>
      <w:r>
        <w:rPr>
          <w:rFonts w:hint="eastAsia"/>
        </w:rPr>
        <w:t>本</w:t>
      </w:r>
      <w:r>
        <w:t>项目预算安排总额为</w:t>
      </w:r>
      <w:r>
        <w:rPr>
          <w:rFonts w:hint="eastAsia"/>
          <w:lang w:val="en-US" w:eastAsia="zh-CN"/>
        </w:rPr>
        <w:t>27</w:t>
      </w:r>
      <w:r>
        <w:rPr>
          <w:rFonts w:hint="eastAsia"/>
        </w:rPr>
        <w:t>00</w:t>
      </w:r>
      <w:r>
        <w:t>万元，其中财政资金</w:t>
      </w:r>
      <w:r>
        <w:rPr>
          <w:rFonts w:hint="eastAsia"/>
          <w:lang w:val="en-US" w:eastAsia="zh-CN"/>
        </w:rPr>
        <w:t>27</w:t>
      </w:r>
      <w:r>
        <w:rPr>
          <w:rFonts w:hint="eastAsia"/>
        </w:rPr>
        <w:t>00</w:t>
      </w:r>
      <w:r>
        <w:t>万元，其他资金</w:t>
      </w:r>
      <w:r>
        <w:rPr>
          <w:rFonts w:hint="eastAsia"/>
        </w:rPr>
        <w:t>0</w:t>
      </w:r>
      <w:r>
        <w:t>万元，20</w:t>
      </w:r>
      <w:r>
        <w:rPr>
          <w:rFonts w:hint="eastAsia"/>
        </w:rPr>
        <w:t>2</w:t>
      </w:r>
      <w:r>
        <w:rPr>
          <w:rFonts w:hint="eastAsia"/>
          <w:lang w:val="en-US" w:eastAsia="zh-CN"/>
        </w:rPr>
        <w:t>3</w:t>
      </w:r>
      <w:r>
        <w:t>年实际收到预算资金</w:t>
      </w:r>
      <w:r>
        <w:rPr>
          <w:rFonts w:hint="eastAsia"/>
          <w:lang w:val="en-US" w:eastAsia="zh-CN"/>
        </w:rPr>
        <w:t>27</w:t>
      </w:r>
      <w:r>
        <w:rPr>
          <w:rFonts w:hint="eastAsia"/>
        </w:rPr>
        <w:t>00</w:t>
      </w:r>
      <w:r>
        <w:t>万元，预算资金到位率为</w:t>
      </w:r>
      <w:r>
        <w:rPr>
          <w:rFonts w:hint="eastAsia"/>
        </w:rPr>
        <w:t>100</w:t>
      </w:r>
      <w:r>
        <w:t>%。</w:t>
      </w:r>
    </w:p>
    <w:p>
      <w:pPr>
        <w:ind w:firstLine="562"/>
        <w:rPr>
          <w:rFonts w:ascii="仿宋" w:hAnsi="仿宋" w:eastAsia="仿宋"/>
          <w:b/>
          <w:bCs/>
          <w:spacing w:val="-4"/>
        </w:rPr>
      </w:pPr>
      <w:r>
        <w:rPr>
          <w:rFonts w:hint="eastAsia" w:ascii="仿宋" w:hAnsi="仿宋" w:eastAsia="仿宋"/>
          <w:b/>
        </w:rPr>
        <w:t>（2）</w:t>
      </w:r>
      <w:r>
        <w:rPr>
          <w:rFonts w:hint="eastAsia" w:ascii="仿宋" w:hAnsi="仿宋" w:eastAsia="仿宋"/>
          <w:b/>
          <w:bCs/>
          <w:spacing w:val="-4"/>
        </w:rPr>
        <w:t>项目资金实际使用情况分析</w:t>
      </w:r>
    </w:p>
    <w:p>
      <w:pPr>
        <w:ind w:firstLine="560"/>
        <w:rPr>
          <w:rFonts w:hint="eastAsia" w:eastAsia="仿宋_GB2312"/>
          <w:lang w:eastAsia="zh-CN"/>
        </w:rPr>
      </w:pPr>
      <w:r>
        <w:rPr>
          <w:rFonts w:hint="eastAsia"/>
        </w:rPr>
        <w:t>截止到202</w:t>
      </w:r>
      <w:r>
        <w:rPr>
          <w:rFonts w:hint="eastAsia"/>
          <w:lang w:val="en-US" w:eastAsia="zh-CN"/>
        </w:rPr>
        <w:t>3</w:t>
      </w:r>
      <w:r>
        <w:rPr>
          <w:rFonts w:hint="eastAsia"/>
        </w:rPr>
        <w:t>年12月31日，本项目实际支付资金</w:t>
      </w:r>
      <w:r>
        <w:rPr>
          <w:rFonts w:hint="eastAsia"/>
          <w:lang w:val="en-US" w:eastAsia="zh-CN"/>
        </w:rPr>
        <w:t>27</w:t>
      </w:r>
      <w:r>
        <w:rPr>
          <w:rFonts w:hint="eastAsia"/>
        </w:rPr>
        <w:t>00万元，预算执行率100</w:t>
      </w:r>
      <w:r>
        <w:t>%</w:t>
      </w:r>
      <w:r>
        <w:rPr>
          <w:rFonts w:hint="eastAsia"/>
        </w:rPr>
        <w:t>，结转资金0万元，结余资金0万元。项目资金主要用于支付车辆运行油料费</w:t>
      </w:r>
      <w:r>
        <w:rPr>
          <w:rFonts w:hint="eastAsia"/>
          <w:lang w:val="en-US" w:eastAsia="zh-CN"/>
        </w:rPr>
        <w:t>110万元，</w:t>
      </w:r>
      <w:r>
        <w:rPr>
          <w:rFonts w:hint="eastAsia"/>
        </w:rPr>
        <w:t>城市照明设施运行电费233.74万元</w:t>
      </w:r>
      <w:r>
        <w:rPr>
          <w:rFonts w:hint="eastAsia"/>
          <w:lang w:eastAsia="zh-CN"/>
        </w:rPr>
        <w:t>，</w:t>
      </w:r>
      <w:r>
        <w:rPr>
          <w:rFonts w:hint="eastAsia"/>
        </w:rPr>
        <w:t>城区绿化补种植</w:t>
      </w:r>
      <w:r>
        <w:rPr>
          <w:rFonts w:hint="eastAsia"/>
          <w:lang w:val="en-US" w:eastAsia="zh-CN"/>
        </w:rPr>
        <w:t>691.91</w:t>
      </w:r>
      <w:r>
        <w:rPr>
          <w:rFonts w:hint="eastAsia"/>
        </w:rPr>
        <w:t>万元</w:t>
      </w:r>
      <w:r>
        <w:rPr>
          <w:rFonts w:hint="eastAsia"/>
          <w:lang w:eastAsia="zh-CN"/>
        </w:rPr>
        <w:t>，</w:t>
      </w:r>
      <w:r>
        <w:rPr>
          <w:rFonts w:hint="eastAsia"/>
        </w:rPr>
        <w:t>部分项目前期费及工程欠款</w:t>
      </w:r>
      <w:r>
        <w:rPr>
          <w:rFonts w:hint="eastAsia"/>
          <w:lang w:eastAsia="zh-CN"/>
        </w:rPr>
        <w:t>支付</w:t>
      </w:r>
      <w:r>
        <w:rPr>
          <w:rFonts w:hint="eastAsia"/>
        </w:rPr>
        <w:t>8</w:t>
      </w:r>
      <w:r>
        <w:rPr>
          <w:rFonts w:hint="eastAsia"/>
          <w:lang w:val="en-US" w:eastAsia="zh-CN"/>
        </w:rPr>
        <w:t>79.7256</w:t>
      </w:r>
      <w:r>
        <w:rPr>
          <w:rFonts w:hint="eastAsia"/>
        </w:rPr>
        <w:t>万元</w:t>
      </w:r>
      <w:r>
        <w:rPr>
          <w:rFonts w:hint="eastAsia"/>
          <w:lang w:eastAsia="zh-CN"/>
        </w:rPr>
        <w:t>，</w:t>
      </w:r>
      <w:r>
        <w:rPr>
          <w:rFonts w:hint="eastAsia"/>
        </w:rPr>
        <w:t>市政工程修复资金</w:t>
      </w:r>
      <w:r>
        <w:rPr>
          <w:rFonts w:hint="eastAsia"/>
          <w:lang w:eastAsia="zh-CN"/>
        </w:rPr>
        <w:t>支付</w:t>
      </w:r>
      <w:r>
        <w:rPr>
          <w:rFonts w:hint="eastAsia"/>
          <w:lang w:val="en-US" w:eastAsia="zh-CN"/>
        </w:rPr>
        <w:t>784.62208</w:t>
      </w:r>
      <w:r>
        <w:rPr>
          <w:rFonts w:hint="eastAsia"/>
        </w:rPr>
        <w:t>万元</w:t>
      </w:r>
      <w:r>
        <w:rPr>
          <w:rFonts w:hint="eastAsia"/>
          <w:lang w:eastAsia="zh-CN"/>
        </w:rPr>
        <w:t>。</w:t>
      </w:r>
    </w:p>
    <w:p>
      <w:pPr>
        <w:pStyle w:val="4"/>
        <w:ind w:firstLine="640"/>
        <w:rPr>
          <w:rFonts w:hint="eastAsia"/>
        </w:rPr>
      </w:pPr>
      <w:r>
        <w:rPr>
          <w:rFonts w:hint="eastAsia"/>
        </w:rPr>
        <w:t>（二）项目绩效目标</w:t>
      </w:r>
    </w:p>
    <w:p>
      <w:pPr>
        <w:pStyle w:val="6"/>
        <w:ind w:firstLine="560"/>
        <w:rPr>
          <w:rFonts w:hint="eastAsia" w:cs="Times New Roman"/>
        </w:rPr>
      </w:pPr>
      <w:r>
        <w:rPr>
          <w:rFonts w:hint="eastAsia" w:cs="Times New Roman"/>
        </w:rPr>
        <w:t>1.总体目标</w:t>
      </w:r>
    </w:p>
    <w:p>
      <w:pPr>
        <w:ind w:firstLine="560"/>
        <w:rPr>
          <w:rFonts w:hint="eastAsia"/>
          <w:highlight w:val="none"/>
        </w:rPr>
      </w:pPr>
      <w:r>
        <w:rPr>
          <w:rFonts w:hint="eastAsia"/>
          <w:highlight w:val="none"/>
        </w:rPr>
        <w:t>本项目绩效总体目标</w:t>
      </w:r>
      <w:r>
        <w:rPr>
          <w:rFonts w:hint="eastAsia" w:cs="宋体"/>
          <w:highlight w:val="none"/>
        </w:rPr>
        <w:t>为：</w:t>
      </w:r>
      <w:r>
        <w:rPr>
          <w:rFonts w:hint="eastAsia"/>
          <w:highlight w:val="none"/>
          <w:lang w:val="en-US" w:eastAsia="zh-CN"/>
        </w:rPr>
        <w:t>2023年保障县城所有道路照明路灯正常照明，开展对市政零星修复工程、路面维修等城市公共基础设施维护，保障全县城市公共设施正常运行，提高城区绿化覆盖率；2023年单位全年特种作业车辆正常运转，保障环卫、绿化用车油料费用及日常维修维护。</w:t>
      </w:r>
    </w:p>
    <w:p>
      <w:pPr>
        <w:pStyle w:val="6"/>
        <w:ind w:firstLine="560"/>
      </w:pPr>
      <w:r>
        <w:rPr>
          <w:rFonts w:hint="eastAsia"/>
        </w:rPr>
        <w:t>2.阶段性目标</w:t>
      </w:r>
    </w:p>
    <w:p>
      <w:pPr>
        <w:ind w:firstLine="560"/>
        <w:rPr>
          <w:rFonts w:hAnsi="Arial" w:cs="宋体"/>
          <w:bCs/>
        </w:rPr>
      </w:pPr>
      <w:r>
        <w:rPr>
          <w:rFonts w:hint="eastAsia" w:hAnsi="Arial" w:cs="宋体"/>
          <w:bCs/>
        </w:rPr>
        <w:t>根据《预算法》、《财政支出绩效评价管理暂行办法》（财预〔2020〕10号）、《中共中央国务院关于全面实施预算绩效管理的意见》（中发〔2018〕34号）、《自治区党委自治区人民政府关于全面实施预算绩效管理的实施意见》（新党发〔2018〕30号）、</w:t>
      </w:r>
      <w:r>
        <w:t>《自治区财政支出绩效评价管理暂行办法》</w:t>
      </w:r>
      <w:r>
        <w:rPr>
          <w:rFonts w:hint="eastAsia"/>
        </w:rPr>
        <w:t>（新财预〔2018〕189号）等文件要求和</w:t>
      </w:r>
      <w:r>
        <w:rPr>
          <w:rFonts w:hint="eastAsia" w:hAnsi="Arial" w:cs="宋体"/>
          <w:bCs/>
        </w:rPr>
        <w:t>规定，结合项目实施单位的规章制度以及财务相关资料，评价小组对项目绩效目标进行了进一步的完善，完善后绩效目标如下：</w:t>
      </w:r>
    </w:p>
    <w:p>
      <w:pPr>
        <w:ind w:firstLine="560"/>
        <w:rPr>
          <w:rFonts w:hint="eastAsia" w:hAnsi="Arial" w:eastAsia="仿宋_GB2312" w:cs="宋体"/>
          <w:b/>
          <w:bCs/>
          <w:lang w:eastAsia="zh-CN"/>
        </w:rPr>
      </w:pPr>
      <w:r>
        <w:rPr>
          <w:rFonts w:hint="eastAsia" w:hAnsi="Arial" w:cs="宋体"/>
          <w:b/>
          <w:bCs/>
        </w:rPr>
        <w:t>（1）</w:t>
      </w:r>
      <w:r>
        <w:rPr>
          <w:rFonts w:hint="eastAsia"/>
          <w:b/>
        </w:rPr>
        <w:t>项目产出</w:t>
      </w:r>
      <w:r>
        <w:rPr>
          <w:rFonts w:hint="eastAsia"/>
          <w:b/>
          <w:lang w:eastAsia="zh-CN"/>
        </w:rPr>
        <w:t>指标</w:t>
      </w:r>
    </w:p>
    <w:p>
      <w:pPr>
        <w:ind w:firstLine="560"/>
      </w:pPr>
      <w:r>
        <w:rPr>
          <w:rFonts w:hint="eastAsia"/>
        </w:rPr>
        <w:t>①数量指标</w:t>
      </w:r>
    </w:p>
    <w:p>
      <w:pPr>
        <w:ind w:firstLine="560"/>
      </w:pPr>
      <w:r>
        <w:rPr>
          <w:rFonts w:hint="eastAsia"/>
        </w:rPr>
        <w:t>“保障运行车辆数”指标，预期指标值为</w:t>
      </w:r>
      <w:r>
        <w:rPr>
          <w:rFonts w:hint="eastAsia"/>
          <w:lang w:eastAsia="zh-CN"/>
        </w:rPr>
        <w:t>大于等于5</w:t>
      </w:r>
      <w:r>
        <w:rPr>
          <w:rFonts w:hint="eastAsia"/>
          <w:lang w:val="en-US" w:eastAsia="zh-CN"/>
        </w:rPr>
        <w:t>0</w:t>
      </w:r>
      <w:r>
        <w:rPr>
          <w:rFonts w:hint="eastAsia"/>
          <w:lang w:eastAsia="zh-CN"/>
        </w:rPr>
        <w:t>辆</w:t>
      </w:r>
      <w:r>
        <w:rPr>
          <w:rFonts w:hint="eastAsia"/>
        </w:rPr>
        <w:t>；</w:t>
      </w:r>
    </w:p>
    <w:p>
      <w:pPr>
        <w:ind w:firstLine="560"/>
      </w:pPr>
      <w:r>
        <w:rPr>
          <w:rFonts w:hint="eastAsia"/>
        </w:rPr>
        <w:t>“照明路灯数量”指标，预期指标值为</w:t>
      </w:r>
      <w:r>
        <w:rPr>
          <w:rFonts w:hint="eastAsia"/>
          <w:lang w:eastAsia="zh-CN"/>
        </w:rPr>
        <w:t>大于等于</w:t>
      </w:r>
      <w:r>
        <w:rPr>
          <w:rFonts w:hint="eastAsia"/>
        </w:rPr>
        <w:t>2800盏；</w:t>
      </w:r>
    </w:p>
    <w:p>
      <w:pPr>
        <w:ind w:firstLine="560"/>
      </w:pPr>
      <w:r>
        <w:rPr>
          <w:rFonts w:hint="eastAsia"/>
        </w:rPr>
        <w:t>“城区绿化补种植面积”指标，预期指标值为</w:t>
      </w:r>
      <w:r>
        <w:rPr>
          <w:rFonts w:hint="eastAsia"/>
          <w:lang w:eastAsia="zh-CN"/>
        </w:rPr>
        <w:t>大于等于</w:t>
      </w:r>
      <w:r>
        <w:rPr>
          <w:rFonts w:hint="eastAsia"/>
        </w:rPr>
        <w:t>500平方米；</w:t>
      </w:r>
    </w:p>
    <w:p>
      <w:pPr>
        <w:ind w:firstLine="560"/>
        <w:rPr>
          <w:rFonts w:hint="eastAsia"/>
        </w:rPr>
      </w:pPr>
      <w:r>
        <w:rPr>
          <w:rFonts w:hint="eastAsia"/>
        </w:rPr>
        <w:t>“市政修复工程数量”指标，预期指标值为</w:t>
      </w:r>
      <w:r>
        <w:rPr>
          <w:rFonts w:hint="eastAsia"/>
          <w:lang w:eastAsia="zh-CN"/>
        </w:rPr>
        <w:t>大于等于</w:t>
      </w:r>
      <w:r>
        <w:rPr>
          <w:rFonts w:hint="eastAsia"/>
        </w:rPr>
        <w:t>98次。</w:t>
      </w:r>
    </w:p>
    <w:p>
      <w:pPr>
        <w:ind w:firstLine="560"/>
      </w:pPr>
      <w:r>
        <w:rPr>
          <w:rFonts w:hint="eastAsia"/>
        </w:rPr>
        <w:t>②质量指标</w:t>
      </w:r>
    </w:p>
    <w:p>
      <w:pPr>
        <w:ind w:firstLine="560"/>
      </w:pPr>
      <w:r>
        <w:rPr>
          <w:rFonts w:hint="eastAsia"/>
        </w:rPr>
        <w:t>“市政工程修复验收合格率”指标，预期指标值为100%；</w:t>
      </w:r>
    </w:p>
    <w:p>
      <w:pPr>
        <w:ind w:firstLine="560"/>
      </w:pPr>
      <w:r>
        <w:rPr>
          <w:rFonts w:hint="eastAsia"/>
        </w:rPr>
        <w:t>“路灯设施正常照明率”指标，预期指标值为100%；</w:t>
      </w:r>
    </w:p>
    <w:p>
      <w:pPr>
        <w:ind w:firstLine="560"/>
      </w:pPr>
      <w:r>
        <w:rPr>
          <w:rFonts w:hint="eastAsia"/>
        </w:rPr>
        <w:t>“资金规范管理使用率”指标，预期指标值为100%；</w:t>
      </w:r>
    </w:p>
    <w:p>
      <w:pPr>
        <w:ind w:firstLine="560"/>
      </w:pPr>
      <w:r>
        <w:rPr>
          <w:rFonts w:hint="eastAsia"/>
        </w:rPr>
        <w:t>③时效指标</w:t>
      </w:r>
    </w:p>
    <w:p>
      <w:pPr>
        <w:ind w:firstLine="560"/>
        <w:rPr>
          <w:rFonts w:hint="eastAsia"/>
        </w:rPr>
      </w:pPr>
      <w:r>
        <w:rPr>
          <w:rFonts w:hint="eastAsia"/>
        </w:rPr>
        <w:t>“路灯设施故障修复响应时间”指标，预期指标值为</w:t>
      </w:r>
      <w:r>
        <w:rPr>
          <w:rFonts w:hint="eastAsia"/>
          <w:lang w:eastAsia="zh-CN"/>
        </w:rPr>
        <w:t>小于等于</w:t>
      </w:r>
      <w:r>
        <w:rPr>
          <w:rFonts w:hint="eastAsia"/>
        </w:rPr>
        <w:t>2天；</w:t>
      </w:r>
      <w:r>
        <w:rPr>
          <w:rFonts w:hint="eastAsia"/>
        </w:rPr>
        <w:tab/>
      </w:r>
    </w:p>
    <w:p>
      <w:pPr>
        <w:ind w:firstLine="560"/>
        <w:rPr>
          <w:rFonts w:hint="eastAsia" w:eastAsia="仿宋_GB2312"/>
          <w:lang w:eastAsia="zh-CN"/>
        </w:rPr>
      </w:pPr>
      <w:r>
        <w:rPr>
          <w:rFonts w:hint="eastAsia"/>
          <w:lang w:eastAsia="zh-CN"/>
        </w:rPr>
        <w:t>“</w:t>
      </w:r>
      <w:r>
        <w:rPr>
          <w:rFonts w:hint="eastAsia"/>
        </w:rPr>
        <w:t>项目及时完成率</w:t>
      </w:r>
      <w:r>
        <w:rPr>
          <w:rFonts w:hint="eastAsia"/>
          <w:lang w:eastAsia="zh-CN"/>
        </w:rPr>
        <w:t>”</w:t>
      </w:r>
      <w:r>
        <w:rPr>
          <w:rFonts w:hint="eastAsia"/>
        </w:rPr>
        <w:t>指标预期指标值为100%</w:t>
      </w:r>
      <w:r>
        <w:rPr>
          <w:rFonts w:hint="eastAsia"/>
          <w:lang w:eastAsia="zh-CN"/>
        </w:rPr>
        <w:t>；</w:t>
      </w:r>
    </w:p>
    <w:p>
      <w:pPr>
        <w:ind w:firstLine="560"/>
        <w:rPr>
          <w:rFonts w:hint="eastAsia"/>
          <w:b/>
        </w:rPr>
      </w:pPr>
      <w:r>
        <w:rPr>
          <w:rFonts w:hint="eastAsia"/>
          <w:b/>
          <w:lang w:eastAsia="zh-CN"/>
        </w:rPr>
        <w:t>（</w:t>
      </w:r>
      <w:r>
        <w:rPr>
          <w:rFonts w:hint="eastAsia"/>
          <w:b/>
          <w:lang w:val="en-US" w:eastAsia="zh-CN"/>
        </w:rPr>
        <w:t>2</w:t>
      </w:r>
      <w:r>
        <w:rPr>
          <w:rFonts w:hint="eastAsia"/>
          <w:b/>
          <w:lang w:eastAsia="zh-CN"/>
        </w:rPr>
        <w:t>）项目</w:t>
      </w:r>
      <w:r>
        <w:rPr>
          <w:rFonts w:hint="eastAsia"/>
          <w:b/>
        </w:rPr>
        <w:t>成本指标</w:t>
      </w:r>
    </w:p>
    <w:p>
      <w:pPr>
        <w:ind w:firstLine="560"/>
        <w:rPr>
          <w:rFonts w:hint="eastAsia"/>
          <w:lang w:eastAsia="zh-CN"/>
        </w:rPr>
      </w:pPr>
      <w:r>
        <w:rPr>
          <w:rFonts w:hint="eastAsia"/>
        </w:rPr>
        <w:t>①</w:t>
      </w:r>
      <w:r>
        <w:rPr>
          <w:rFonts w:hint="eastAsia"/>
          <w:lang w:eastAsia="zh-CN"/>
        </w:rPr>
        <w:t>经济成本指标</w:t>
      </w:r>
    </w:p>
    <w:p>
      <w:pPr>
        <w:ind w:firstLine="560"/>
      </w:pPr>
      <w:r>
        <w:rPr>
          <w:rFonts w:hint="eastAsia"/>
        </w:rPr>
        <w:t>“车辆运行油料费”指标，预期指标值为</w:t>
      </w:r>
      <w:r>
        <w:rPr>
          <w:rFonts w:hint="eastAsia"/>
          <w:lang w:eastAsia="zh-CN"/>
        </w:rPr>
        <w:t>小于等于</w:t>
      </w:r>
      <w:r>
        <w:rPr>
          <w:rFonts w:hint="eastAsia"/>
        </w:rPr>
        <w:t>120万元；</w:t>
      </w:r>
    </w:p>
    <w:p>
      <w:pPr>
        <w:ind w:firstLine="560"/>
        <w:rPr>
          <w:rFonts w:hint="eastAsia"/>
        </w:rPr>
      </w:pPr>
      <w:r>
        <w:rPr>
          <w:rFonts w:hint="eastAsia"/>
        </w:rPr>
        <w:t>“城市照明设施运行电费”指标，预期指标值为</w:t>
      </w:r>
      <w:r>
        <w:rPr>
          <w:rFonts w:hint="eastAsia"/>
          <w:lang w:eastAsia="zh-CN"/>
        </w:rPr>
        <w:t>小于等于</w:t>
      </w:r>
      <w:r>
        <w:rPr>
          <w:rFonts w:hint="eastAsia"/>
        </w:rPr>
        <w:t>300万元；</w:t>
      </w:r>
    </w:p>
    <w:p>
      <w:pPr>
        <w:ind w:firstLine="560"/>
      </w:pPr>
      <w:r>
        <w:rPr>
          <w:rFonts w:hint="eastAsia"/>
        </w:rPr>
        <w:t>“城区绿化补种植”指标，预期指标值为</w:t>
      </w:r>
      <w:r>
        <w:rPr>
          <w:rFonts w:hint="eastAsia"/>
          <w:lang w:eastAsia="zh-CN"/>
        </w:rPr>
        <w:t>小于等于</w:t>
      </w:r>
      <w:r>
        <w:rPr>
          <w:rFonts w:hint="eastAsia"/>
        </w:rPr>
        <w:t>700万元；</w:t>
      </w:r>
    </w:p>
    <w:p>
      <w:pPr>
        <w:ind w:firstLine="560"/>
      </w:pPr>
      <w:r>
        <w:rPr>
          <w:rFonts w:hint="eastAsia"/>
        </w:rPr>
        <w:t>“部分项目前期费及工程欠款”指标，预期指标值为</w:t>
      </w:r>
      <w:r>
        <w:rPr>
          <w:rFonts w:hint="eastAsia"/>
          <w:lang w:eastAsia="zh-CN"/>
        </w:rPr>
        <w:t>小于等于</w:t>
      </w:r>
      <w:r>
        <w:rPr>
          <w:rFonts w:hint="eastAsia"/>
        </w:rPr>
        <w:t>880万元；</w:t>
      </w:r>
    </w:p>
    <w:p>
      <w:pPr>
        <w:ind w:firstLine="560"/>
        <w:rPr>
          <w:rFonts w:hint="eastAsia"/>
        </w:rPr>
      </w:pPr>
      <w:r>
        <w:rPr>
          <w:rFonts w:hint="eastAsia"/>
        </w:rPr>
        <w:t>“市政工程修复资金”指标，预期指标值为</w:t>
      </w:r>
      <w:r>
        <w:rPr>
          <w:rFonts w:hint="eastAsia"/>
          <w:lang w:eastAsia="zh-CN"/>
        </w:rPr>
        <w:t>小于等于</w:t>
      </w:r>
      <w:r>
        <w:rPr>
          <w:rFonts w:hint="eastAsia"/>
        </w:rPr>
        <w:t>700万元。</w:t>
      </w:r>
    </w:p>
    <w:p>
      <w:pPr>
        <w:pStyle w:val="6"/>
        <w:rPr>
          <w:rFonts w:hint="eastAsia" w:ascii="Times New Roman" w:hAnsi="Times New Roman" w:eastAsia="仿宋_GB2312" w:cs="Times New Roman"/>
          <w:b w:val="0"/>
          <w:bCs w:val="0"/>
          <w:kern w:val="2"/>
          <w:sz w:val="28"/>
          <w:szCs w:val="24"/>
          <w:lang w:val="en-US" w:eastAsia="zh-CN" w:bidi="ar-SA"/>
        </w:rPr>
      </w:pPr>
      <w:r>
        <w:rPr>
          <w:rFonts w:hint="eastAsia" w:ascii="Times New Roman" w:hAnsi="Times New Roman" w:eastAsia="仿宋_GB2312" w:cs="Times New Roman"/>
          <w:b w:val="0"/>
          <w:bCs w:val="0"/>
          <w:kern w:val="2"/>
          <w:sz w:val="28"/>
          <w:szCs w:val="24"/>
          <w:lang w:val="en-US" w:eastAsia="zh-CN" w:bidi="ar-SA"/>
        </w:rPr>
        <w:t>②社会成本指标</w:t>
      </w:r>
    </w:p>
    <w:p>
      <w:pPr>
        <w:pStyle w:val="6"/>
        <w:rPr>
          <w:rFonts w:hint="eastAsia"/>
        </w:rPr>
      </w:pPr>
      <w:r>
        <w:rPr>
          <w:rFonts w:hint="eastAsia" w:ascii="Times New Roman" w:hAnsi="Times New Roman" w:eastAsia="仿宋_GB2312" w:cs="Times New Roman"/>
          <w:b w:val="0"/>
          <w:bCs w:val="0"/>
          <w:kern w:val="2"/>
          <w:sz w:val="28"/>
          <w:szCs w:val="24"/>
          <w:lang w:val="en-US" w:eastAsia="zh-CN" w:bidi="ar-SA"/>
        </w:rPr>
        <w:t>无</w:t>
      </w:r>
      <w:r>
        <w:rPr>
          <w:rFonts w:hint="eastAsia" w:ascii="Times New Roman" w:hAnsi="Times New Roman" w:eastAsia="仿宋_GB2312" w:cs="Times New Roman"/>
          <w:b w:val="0"/>
          <w:bCs w:val="0"/>
          <w:kern w:val="2"/>
          <w:sz w:val="28"/>
          <w:szCs w:val="24"/>
          <w:lang w:val="en-US" w:eastAsia="zh-CN" w:bidi="ar-SA"/>
        </w:rPr>
        <w:tab/>
      </w:r>
      <w:r>
        <w:rPr>
          <w:rFonts w:hint="eastAsia" w:ascii="Times New Roman" w:hAnsi="Times New Roman" w:eastAsia="仿宋_GB2312" w:cs="Times New Roman"/>
          <w:b w:val="0"/>
          <w:bCs w:val="0"/>
          <w:kern w:val="2"/>
          <w:sz w:val="28"/>
          <w:szCs w:val="24"/>
          <w:lang w:val="en-US" w:eastAsia="zh-CN" w:bidi="ar-S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pPr>
        <w:pStyle w:val="6"/>
        <w:rPr>
          <w:rFonts w:hint="eastAsia" w:ascii="Times New Roman" w:hAnsi="Times New Roman" w:eastAsia="仿宋_GB2312" w:cs="Times New Roman"/>
          <w:b w:val="0"/>
          <w:bCs w:val="0"/>
          <w:kern w:val="2"/>
          <w:sz w:val="28"/>
          <w:szCs w:val="24"/>
          <w:lang w:val="en-US" w:eastAsia="zh-CN" w:bidi="ar-SA"/>
        </w:rPr>
      </w:pPr>
      <w:r>
        <w:rPr>
          <w:rFonts w:hint="eastAsia" w:ascii="Times New Roman" w:hAnsi="Times New Roman" w:eastAsia="仿宋_GB2312" w:cs="Times New Roman"/>
          <w:b w:val="0"/>
          <w:bCs w:val="0"/>
          <w:kern w:val="2"/>
          <w:sz w:val="28"/>
          <w:szCs w:val="24"/>
          <w:lang w:val="en-US" w:eastAsia="zh-CN" w:bidi="ar-SA"/>
        </w:rPr>
        <w:t>③生态环境成本指标</w:t>
      </w:r>
    </w:p>
    <w:p>
      <w:pPr>
        <w:pStyle w:val="6"/>
        <w:rPr>
          <w:rFonts w:hint="eastAsia" w:ascii="Times New Roman" w:hAnsi="Times New Roman" w:eastAsia="仿宋_GB2312" w:cs="Times New Roman"/>
          <w:b w:val="0"/>
          <w:bCs w:val="0"/>
          <w:kern w:val="2"/>
          <w:sz w:val="28"/>
          <w:szCs w:val="24"/>
          <w:lang w:val="en-US" w:eastAsia="zh-CN" w:bidi="ar-SA"/>
        </w:rPr>
      </w:pPr>
      <w:r>
        <w:rPr>
          <w:rFonts w:hint="eastAsia" w:ascii="Times New Roman" w:hAnsi="Times New Roman" w:eastAsia="仿宋_GB2312" w:cs="Times New Roman"/>
          <w:b w:val="0"/>
          <w:bCs w:val="0"/>
          <w:kern w:val="2"/>
          <w:sz w:val="28"/>
          <w:szCs w:val="24"/>
          <w:lang w:val="en-US" w:eastAsia="zh-CN" w:bidi="ar-SA"/>
        </w:rPr>
        <w:t>无</w:t>
      </w:r>
    </w:p>
    <w:p>
      <w:pPr>
        <w:ind w:firstLine="562"/>
        <w:rPr>
          <w:rFonts w:hint="eastAsia" w:ascii="仿宋" w:hAnsi="仿宋" w:eastAsia="仿宋"/>
          <w:b/>
          <w:lang w:eastAsia="zh-CN"/>
        </w:rPr>
      </w:pPr>
      <w:r>
        <w:rPr>
          <w:rFonts w:hint="eastAsia" w:ascii="仿宋" w:hAnsi="仿宋" w:eastAsia="仿宋"/>
          <w:b/>
        </w:rPr>
        <w:t>（</w:t>
      </w:r>
      <w:r>
        <w:rPr>
          <w:rFonts w:hint="eastAsia" w:ascii="仿宋" w:hAnsi="仿宋" w:eastAsia="仿宋"/>
          <w:b/>
          <w:lang w:val="en-US" w:eastAsia="zh-CN"/>
        </w:rPr>
        <w:t>3</w:t>
      </w:r>
      <w:r>
        <w:rPr>
          <w:rFonts w:hint="eastAsia" w:ascii="仿宋" w:hAnsi="仿宋" w:eastAsia="仿宋"/>
          <w:b/>
        </w:rPr>
        <w:t>）项目效益</w:t>
      </w:r>
      <w:r>
        <w:rPr>
          <w:rFonts w:hint="eastAsia" w:ascii="仿宋" w:hAnsi="仿宋" w:eastAsia="仿宋"/>
          <w:b/>
          <w:lang w:eastAsia="zh-CN"/>
        </w:rPr>
        <w:t>指标</w:t>
      </w:r>
    </w:p>
    <w:p>
      <w:pPr>
        <w:ind w:firstLine="560"/>
      </w:pPr>
      <w:r>
        <w:rPr>
          <w:rFonts w:hint="eastAsia"/>
        </w:rPr>
        <w:t>①经济效益指标</w:t>
      </w:r>
    </w:p>
    <w:p>
      <w:pPr>
        <w:ind w:firstLine="560"/>
      </w:pPr>
      <w:r>
        <w:t>无</w:t>
      </w:r>
    </w:p>
    <w:p>
      <w:pPr>
        <w:ind w:firstLine="560"/>
      </w:pPr>
      <w:r>
        <w:rPr>
          <w:rFonts w:hint="eastAsia"/>
        </w:rPr>
        <w:t>②社会效益指标</w:t>
      </w:r>
    </w:p>
    <w:p>
      <w:pPr>
        <w:ind w:firstLine="560"/>
      </w:pPr>
      <w:r>
        <w:rPr>
          <w:rFonts w:hint="eastAsia"/>
        </w:rPr>
        <w:t>“改善城市公共基础设施建设运行水平”指标，预期指标值为持续改善。</w:t>
      </w:r>
    </w:p>
    <w:p>
      <w:pPr>
        <w:ind w:firstLine="560"/>
      </w:pPr>
      <w:r>
        <w:rPr>
          <w:rFonts w:hint="eastAsia"/>
        </w:rPr>
        <w:t>③生态效益指标</w:t>
      </w:r>
    </w:p>
    <w:p>
      <w:pPr>
        <w:ind w:firstLine="560"/>
      </w:pPr>
      <w:r>
        <w:rPr>
          <w:rFonts w:hint="eastAsia"/>
        </w:rPr>
        <w:t>“城区绿化覆盖率”指标，预期指标值为</w:t>
      </w:r>
      <w:r>
        <w:rPr>
          <w:rFonts w:hint="eastAsia"/>
          <w:lang w:eastAsia="zh-CN"/>
        </w:rPr>
        <w:t>大于等于</w:t>
      </w:r>
      <w:r>
        <w:rPr>
          <w:rFonts w:hint="eastAsia"/>
        </w:rPr>
        <w:t>43.37%。</w:t>
      </w:r>
    </w:p>
    <w:p>
      <w:pPr>
        <w:ind w:firstLine="562"/>
        <w:rPr>
          <w:rFonts w:hint="eastAsia" w:ascii="仿宋" w:hAnsi="仿宋" w:eastAsia="仿宋"/>
          <w:b/>
          <w:lang w:eastAsia="zh-CN"/>
        </w:rPr>
      </w:pPr>
      <w:r>
        <w:rPr>
          <w:rFonts w:hint="eastAsia" w:ascii="仿宋" w:hAnsi="仿宋" w:eastAsia="仿宋"/>
          <w:b/>
        </w:rPr>
        <w:t>（</w:t>
      </w:r>
      <w:r>
        <w:rPr>
          <w:rFonts w:hint="eastAsia" w:ascii="仿宋" w:hAnsi="仿宋" w:eastAsia="仿宋"/>
          <w:b/>
          <w:lang w:val="en-US" w:eastAsia="zh-CN"/>
        </w:rPr>
        <w:t>4</w:t>
      </w:r>
      <w:r>
        <w:rPr>
          <w:rFonts w:hint="eastAsia" w:ascii="仿宋" w:hAnsi="仿宋" w:eastAsia="仿宋"/>
          <w:b/>
        </w:rPr>
        <w:t>）满意度</w:t>
      </w:r>
      <w:r>
        <w:rPr>
          <w:rFonts w:hint="eastAsia" w:ascii="仿宋" w:hAnsi="仿宋" w:eastAsia="仿宋"/>
          <w:b/>
          <w:lang w:eastAsia="zh-CN"/>
        </w:rPr>
        <w:t>指标</w:t>
      </w:r>
    </w:p>
    <w:p>
      <w:pPr>
        <w:ind w:firstLine="560"/>
      </w:pPr>
      <w:r>
        <w:rPr>
          <w:rFonts w:hint="eastAsia"/>
        </w:rPr>
        <w:t>①满意度指标</w:t>
      </w:r>
    </w:p>
    <w:p>
      <w:pPr>
        <w:ind w:firstLine="560"/>
        <w:rPr>
          <w:rFonts w:hint="eastAsia"/>
        </w:rPr>
      </w:pPr>
      <w:r>
        <w:rPr>
          <w:rFonts w:hint="eastAsia"/>
        </w:rPr>
        <w:t xml:space="preserve"> “城区居民对我县公共设施运行满意</w:t>
      </w:r>
      <w:r>
        <w:rPr>
          <w:rFonts w:hint="eastAsia"/>
          <w:lang w:eastAsia="zh-CN"/>
        </w:rPr>
        <w:t>度</w:t>
      </w:r>
      <w:r>
        <w:rPr>
          <w:rFonts w:hint="eastAsia"/>
        </w:rPr>
        <w:t>”指标，预期指标值为</w:t>
      </w:r>
      <w:r>
        <w:rPr>
          <w:rFonts w:hint="eastAsia"/>
          <w:lang w:eastAsia="zh-CN"/>
        </w:rPr>
        <w:t>大于等于</w:t>
      </w:r>
      <w:r>
        <w:rPr>
          <w:rFonts w:hint="eastAsia"/>
        </w:rPr>
        <w:t>95%。</w:t>
      </w:r>
    </w:p>
    <w:p>
      <w:pPr>
        <w:pStyle w:val="4"/>
        <w:ind w:firstLine="640"/>
        <w:rPr>
          <w:rFonts w:hint="eastAsia"/>
        </w:rPr>
      </w:pPr>
      <w:r>
        <w:rPr>
          <w:rFonts w:hint="eastAsia"/>
          <w:lang w:eastAsia="zh-CN"/>
        </w:rPr>
        <w:t>二</w:t>
      </w:r>
      <w:r>
        <w:rPr>
          <w:rFonts w:hint="eastAsia"/>
        </w:rPr>
        <w:t>、绩效评价工作开展情况</w:t>
      </w:r>
    </w:p>
    <w:p>
      <w:pPr>
        <w:pStyle w:val="5"/>
        <w:numPr>
          <w:ilvl w:val="0"/>
          <w:numId w:val="3"/>
        </w:numPr>
        <w:ind w:firstLine="643"/>
        <w:rPr>
          <w:rFonts w:ascii="楷体" w:hAnsi="楷体" w:cs="楷体"/>
          <w:szCs w:val="32"/>
        </w:rPr>
      </w:pPr>
      <w:bookmarkStart w:id="0" w:name="_Toc5462343"/>
      <w:bookmarkStart w:id="1" w:name="_Toc21664"/>
      <w:bookmarkStart w:id="2" w:name="_Toc22922"/>
      <w:bookmarkStart w:id="3" w:name="_Toc12868"/>
      <w:bookmarkStart w:id="4" w:name="_Toc5258"/>
      <w:bookmarkStart w:id="5" w:name="_Toc480473081"/>
      <w:bookmarkStart w:id="6" w:name="_Toc26632"/>
      <w:bookmarkStart w:id="7" w:name="_Toc22169_WPSOffice_Level2"/>
      <w:r>
        <w:rPr>
          <w:rFonts w:hint="eastAsia" w:ascii="楷体" w:hAnsi="楷体" w:cs="楷体"/>
          <w:szCs w:val="32"/>
        </w:rPr>
        <w:t>绩效评价的目的</w:t>
      </w:r>
      <w:bookmarkEnd w:id="0"/>
      <w:bookmarkEnd w:id="1"/>
      <w:bookmarkEnd w:id="2"/>
      <w:bookmarkEnd w:id="3"/>
      <w:bookmarkEnd w:id="4"/>
      <w:bookmarkEnd w:id="5"/>
      <w:bookmarkEnd w:id="6"/>
      <w:bookmarkEnd w:id="7"/>
      <w:r>
        <w:rPr>
          <w:rFonts w:hint="eastAsia" w:ascii="楷体" w:hAnsi="楷体" w:cs="楷体"/>
          <w:szCs w:val="32"/>
        </w:rPr>
        <w:t>、对象和范围</w:t>
      </w:r>
    </w:p>
    <w:p>
      <w:pPr>
        <w:pStyle w:val="6"/>
        <w:ind w:firstLine="560"/>
      </w:pPr>
      <w:r>
        <w:rPr>
          <w:rFonts w:hint="eastAsia"/>
        </w:rPr>
        <w:t>1.</w:t>
      </w:r>
      <w:r>
        <w:rPr>
          <w:rFonts w:hint="eastAsia" w:ascii="楷体" w:hAnsi="楷体" w:eastAsia="楷体" w:cs="楷体"/>
          <w:sz w:val="32"/>
        </w:rPr>
        <w:t>绩效评价的目的</w:t>
      </w:r>
    </w:p>
    <w:p>
      <w:pPr>
        <w:spacing w:line="600" w:lineRule="exact"/>
        <w:ind w:firstLine="560"/>
      </w:pPr>
      <w:r>
        <w:rPr>
          <w:rFonts w:hint="eastAsia"/>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pPr>
        <w:spacing w:line="600" w:lineRule="exact"/>
        <w:ind w:firstLine="560"/>
      </w:pPr>
      <w:r>
        <w:rPr>
          <w:rFonts w:hint="eastAsia"/>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pStyle w:val="6"/>
        <w:ind w:firstLine="560"/>
      </w:pPr>
      <w:r>
        <w:rPr>
          <w:rFonts w:hint="eastAsia"/>
        </w:rPr>
        <w:t>2.绩效评价的对象和范围</w:t>
      </w:r>
    </w:p>
    <w:p>
      <w:pPr>
        <w:ind w:firstLine="560"/>
      </w:pPr>
      <w:r>
        <w:rPr>
          <w:rFonts w:hint="eastAsia"/>
          <w:b/>
          <w:bCs/>
        </w:rPr>
        <w:t>评价对象：</w:t>
      </w:r>
      <w:r>
        <w:rPr>
          <w:rFonts w:hint="eastAsia"/>
        </w:rPr>
        <w:t>此次我单位根据《财政支出绩效评价管理暂行办法》（财预〔2020〕10号）文件要求对202</w:t>
      </w:r>
      <w:r>
        <w:rPr>
          <w:rFonts w:hint="eastAsia"/>
          <w:lang w:val="en-US" w:eastAsia="zh-CN"/>
        </w:rPr>
        <w:t>3</w:t>
      </w:r>
      <w:r>
        <w:rPr>
          <w:rFonts w:hint="eastAsia"/>
        </w:rPr>
        <w:t>年度我单位实施的城市公共设施综合业务经费项目开展部门绩效评价，评价核心内容为项目资金执行情况、项目产出情况、项目效益情况</w:t>
      </w:r>
      <w:r>
        <w:t>。</w:t>
      </w:r>
    </w:p>
    <w:p>
      <w:pPr>
        <w:ind w:firstLine="560"/>
      </w:pPr>
      <w:r>
        <w:rPr>
          <w:rFonts w:hint="eastAsia"/>
          <w:b/>
          <w:bCs/>
        </w:rPr>
        <w:t>评价范围：</w:t>
      </w:r>
      <w:r>
        <w:rPr>
          <w:rFonts w:hint="eastAsia"/>
        </w:rPr>
        <w:t>本次绩效评价主要围绕项目</w:t>
      </w:r>
      <w:r>
        <w:t>资金使用情况、财务管理状况</w:t>
      </w:r>
      <w:r>
        <w:rPr>
          <w:rFonts w:hint="eastAsia"/>
        </w:rPr>
        <w:t>；项目管理</w:t>
      </w:r>
      <w:r>
        <w:t>相关制度</w:t>
      </w:r>
      <w:r>
        <w:rPr>
          <w:rFonts w:hint="eastAsia"/>
        </w:rPr>
        <w:t>及</w:t>
      </w:r>
      <w:r>
        <w:t>措施</w:t>
      </w:r>
      <w:r>
        <w:rPr>
          <w:rFonts w:hint="eastAsia"/>
        </w:rPr>
        <w:t>是否被认真执行</w:t>
      </w:r>
      <w:r>
        <w:t>；绩效目标的实现程度，包括是否达到预定产出和效果等</w:t>
      </w:r>
      <w:r>
        <w:rPr>
          <w:rFonts w:hint="eastAsia"/>
        </w:rPr>
        <w:t>方面进行部门绩效评价。</w:t>
      </w:r>
    </w:p>
    <w:p>
      <w:pPr>
        <w:pStyle w:val="5"/>
        <w:numPr>
          <w:ilvl w:val="0"/>
          <w:numId w:val="3"/>
        </w:numPr>
        <w:ind w:firstLine="643"/>
      </w:pPr>
      <w:r>
        <w:rPr>
          <w:rFonts w:hint="eastAsia"/>
        </w:rPr>
        <w:t>绩效评价原则、评价指标体系、评价方法评价标准</w:t>
      </w:r>
    </w:p>
    <w:p>
      <w:pPr>
        <w:pStyle w:val="6"/>
        <w:ind w:firstLine="560"/>
      </w:pPr>
      <w:r>
        <w:rPr>
          <w:rFonts w:hint="eastAsia"/>
        </w:rPr>
        <w:t>1.绩效评价原则</w:t>
      </w:r>
    </w:p>
    <w:p>
      <w:pPr>
        <w:spacing w:line="600" w:lineRule="exact"/>
        <w:ind w:firstLine="560"/>
      </w:pPr>
      <w:r>
        <w:rPr>
          <w:rFonts w:hint="eastAsia"/>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项目实际开展情况，运用定量和定性分析相结合的方法，总结经验做法，反思项目实施和管理中的问题，以切实提升财政资金管理的科学化、规范化和精细化水平。</w:t>
      </w:r>
    </w:p>
    <w:p>
      <w:pPr>
        <w:spacing w:line="600" w:lineRule="exact"/>
        <w:ind w:firstLine="560"/>
      </w:pPr>
      <w:r>
        <w:rPr>
          <w:rFonts w:hint="eastAsia"/>
        </w:rPr>
        <w:t>根据以上原则，绩效评价应遵循如下要求：</w:t>
      </w:r>
    </w:p>
    <w:p>
      <w:pPr>
        <w:spacing w:line="600" w:lineRule="exact"/>
        <w:ind w:firstLine="560"/>
      </w:pPr>
      <w:r>
        <w:rPr>
          <w:rFonts w:hint="eastAsia"/>
        </w:rPr>
        <w:t>（1）在数据采集时，采取客观数据，主管部门审查、社会中介组织复查，与问卷调查相结合的形式，以保证各项指标的真实性。</w:t>
      </w:r>
    </w:p>
    <w:p>
      <w:pPr>
        <w:spacing w:line="600" w:lineRule="exact"/>
        <w:ind w:firstLine="560"/>
      </w:pPr>
      <w:r>
        <w:rPr>
          <w:rFonts w:hint="eastAsia"/>
        </w:rPr>
        <w:t>（2）保证评价结果的真实性、公正性，提高评价报告的公信力。</w:t>
      </w:r>
    </w:p>
    <w:p>
      <w:pPr>
        <w:spacing w:line="600" w:lineRule="exact"/>
        <w:ind w:firstLine="560"/>
      </w:pPr>
      <w:r>
        <w:rPr>
          <w:rFonts w:hint="eastAsia"/>
        </w:rPr>
        <w:t>（3）绩效评价报告应当简明扼要，除了对绩效评价的过程、结果描述外，还应总结经验，指出问题，并就共性问题提出可操作性改进建议。</w:t>
      </w:r>
    </w:p>
    <w:p>
      <w:pPr>
        <w:pStyle w:val="6"/>
        <w:ind w:firstLine="560"/>
      </w:pPr>
      <w:bookmarkStart w:id="8" w:name="_Toc26131"/>
      <w:bookmarkStart w:id="9" w:name="_Toc1913"/>
      <w:bookmarkStart w:id="10" w:name="_Toc428278230"/>
      <w:bookmarkStart w:id="11" w:name="_Toc419984722"/>
      <w:r>
        <w:rPr>
          <w:rFonts w:hint="eastAsia"/>
        </w:rPr>
        <w:t>2.绩效评价指标体系</w:t>
      </w:r>
      <w:bookmarkEnd w:id="8"/>
      <w:bookmarkEnd w:id="9"/>
      <w:bookmarkEnd w:id="10"/>
      <w:bookmarkEnd w:id="11"/>
    </w:p>
    <w:p>
      <w:pPr>
        <w:ind w:firstLine="560"/>
      </w:pPr>
      <w:r>
        <w:rPr>
          <w:rFonts w:hint="eastAsia"/>
        </w:rPr>
        <w:t>我单位</w:t>
      </w:r>
      <w:r>
        <w:rPr>
          <w:rFonts w:hint="eastAsia"/>
          <w:lang w:val="zh-TW" w:eastAsia="zh-TW"/>
        </w:rPr>
        <w:t>根据项目的</w:t>
      </w:r>
      <w:r>
        <w:rPr>
          <w:rFonts w:hint="eastAsia"/>
        </w:rPr>
        <w:t>实施</w:t>
      </w:r>
      <w:r>
        <w:rPr>
          <w:rFonts w:hint="eastAsia"/>
          <w:lang w:val="zh-TW" w:eastAsia="zh-TW"/>
        </w:rPr>
        <w:t>资料研读及前期调研，结合项目的实际开展情况，按照《项目支出绩效评价管理办法》（财预〔2020〕10号）文件要求设置指标体系结构如下：设置一级指标共</w:t>
      </w:r>
      <w:r>
        <w:rPr>
          <w:rFonts w:hint="eastAsia"/>
          <w:lang w:val="en-US" w:eastAsia="zh-CN"/>
        </w:rPr>
        <w:t>5</w:t>
      </w:r>
      <w:r>
        <w:rPr>
          <w:rFonts w:hint="eastAsia"/>
          <w:lang w:val="zh-TW" w:eastAsia="zh-TW"/>
        </w:rPr>
        <w:t>个，包括：决策指标（2</w:t>
      </w:r>
      <w:r>
        <w:rPr>
          <w:rFonts w:hint="eastAsia"/>
        </w:rPr>
        <w:t>0分</w:t>
      </w:r>
      <w:r>
        <w:rPr>
          <w:rFonts w:hint="eastAsia"/>
          <w:lang w:val="zh-TW" w:eastAsia="zh-TW"/>
        </w:rPr>
        <w:t>）、过程指标（</w:t>
      </w:r>
      <w:r>
        <w:rPr>
          <w:rFonts w:hint="eastAsia"/>
        </w:rPr>
        <w:t>20分</w:t>
      </w:r>
      <w:r>
        <w:rPr>
          <w:rFonts w:hint="eastAsia"/>
          <w:lang w:val="zh-TW" w:eastAsia="zh-TW"/>
        </w:rPr>
        <w:t>）、产出指标（</w:t>
      </w:r>
      <w:r>
        <w:rPr>
          <w:rFonts w:hint="eastAsia"/>
          <w:lang w:val="en-US" w:eastAsia="zh-CN"/>
        </w:rPr>
        <w:t>24</w:t>
      </w:r>
      <w:r>
        <w:rPr>
          <w:rFonts w:hint="eastAsia"/>
        </w:rPr>
        <w:t>分</w:t>
      </w:r>
      <w:r>
        <w:rPr>
          <w:rFonts w:hint="eastAsia"/>
          <w:lang w:val="zh-TW" w:eastAsia="zh-TW"/>
        </w:rPr>
        <w:t>）、</w:t>
      </w:r>
      <w:r>
        <w:rPr>
          <w:rFonts w:hint="eastAsia"/>
          <w:lang w:val="zh-TW" w:eastAsia="zh-CN"/>
        </w:rPr>
        <w:t>成本指标</w:t>
      </w:r>
      <w:r>
        <w:rPr>
          <w:rFonts w:hint="eastAsia"/>
          <w:lang w:val="zh-TW" w:eastAsia="zh-TW"/>
        </w:rPr>
        <w:t>（</w:t>
      </w:r>
      <w:r>
        <w:rPr>
          <w:rFonts w:hint="eastAsia"/>
          <w:lang w:val="en-US" w:eastAsia="zh-CN"/>
        </w:rPr>
        <w:t>12</w:t>
      </w:r>
      <w:r>
        <w:rPr>
          <w:rFonts w:hint="eastAsia"/>
        </w:rPr>
        <w:t>分</w:t>
      </w:r>
      <w:r>
        <w:rPr>
          <w:rFonts w:hint="eastAsia"/>
          <w:lang w:val="zh-TW" w:eastAsia="zh-TW"/>
        </w:rPr>
        <w:t>）</w:t>
      </w:r>
      <w:r>
        <w:rPr>
          <w:rFonts w:hint="eastAsia"/>
          <w:lang w:val="zh-TW" w:eastAsia="zh-CN"/>
        </w:rPr>
        <w:t>、</w:t>
      </w:r>
      <w:r>
        <w:rPr>
          <w:rFonts w:hint="eastAsia"/>
          <w:lang w:val="zh-TW" w:eastAsia="zh-TW"/>
        </w:rPr>
        <w:t>效益指标（</w:t>
      </w:r>
      <w:r>
        <w:rPr>
          <w:rFonts w:hint="eastAsia"/>
          <w:lang w:val="en-US" w:eastAsia="zh-CN"/>
        </w:rPr>
        <w:t>24</w:t>
      </w:r>
      <w:r>
        <w:rPr>
          <w:rFonts w:hint="eastAsia"/>
        </w:rPr>
        <w:t>分</w:t>
      </w:r>
      <w:r>
        <w:rPr>
          <w:rFonts w:hint="eastAsia"/>
          <w:lang w:val="zh-TW" w:eastAsia="zh-TW"/>
        </w:rPr>
        <w:t>）</w:t>
      </w:r>
      <w:r>
        <w:rPr>
          <w:rFonts w:hint="eastAsia"/>
          <w:lang w:val="zh-TW"/>
        </w:rPr>
        <w:t>，</w:t>
      </w:r>
      <w:r>
        <w:rPr>
          <w:rFonts w:hint="eastAsia"/>
        </w:rPr>
        <w:t>具体指标分类如下：</w:t>
      </w:r>
    </w:p>
    <w:p>
      <w:pPr>
        <w:ind w:firstLine="560"/>
      </w:pPr>
      <w:r>
        <w:rPr>
          <w:rFonts w:hint="eastAsia"/>
        </w:rPr>
        <w:t>一级指标为：决策、过程、产出、</w:t>
      </w:r>
      <w:r>
        <w:rPr>
          <w:rFonts w:hint="eastAsia"/>
          <w:lang w:eastAsia="zh-CN"/>
        </w:rPr>
        <w:t>成本、</w:t>
      </w:r>
      <w:r>
        <w:rPr>
          <w:rFonts w:hint="eastAsia"/>
        </w:rPr>
        <w:t>效益。</w:t>
      </w:r>
    </w:p>
    <w:p>
      <w:pPr>
        <w:ind w:firstLine="560"/>
      </w:pPr>
      <w:r>
        <w:rPr>
          <w:rFonts w:hint="eastAsia"/>
        </w:rPr>
        <w:t>二级指标为：项目立项、绩效目标、资金投入、资金管理、组织实施、产出数量、产出质量、产出时效、</w:t>
      </w:r>
      <w:r>
        <w:rPr>
          <w:rFonts w:hint="eastAsia"/>
          <w:lang w:eastAsia="zh-CN"/>
        </w:rPr>
        <w:t>经济</w:t>
      </w:r>
      <w:r>
        <w:rPr>
          <w:rFonts w:hint="eastAsia"/>
        </w:rPr>
        <w:t>成本、项目效益。</w:t>
      </w:r>
    </w:p>
    <w:p>
      <w:pPr>
        <w:ind w:firstLine="560"/>
      </w:pPr>
      <w:r>
        <w:rPr>
          <w:rFonts w:hint="eastAsia"/>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w:t>
      </w:r>
    </w:p>
    <w:p>
      <w:pPr>
        <w:ind w:firstLine="560"/>
      </w:pPr>
      <w:r>
        <w:rPr>
          <w:rFonts w:hint="eastAsia"/>
        </w:rPr>
        <w:t>指标体系包括指标体系表和综合得分表两部分，指标体系表是支持评价的基础数据，各指标的权重由该项目绩效评价小组根据绩效评价原理和评价需求，在调研基础上依据指标的重要性制定形成。综合得分表是项目一级指标汇总得分表。详细指标体系见《附件1：项目绩效评价指标体系表和项目综合得分表》。</w:t>
      </w:r>
    </w:p>
    <w:p>
      <w:pPr>
        <w:pStyle w:val="6"/>
        <w:ind w:firstLine="560"/>
      </w:pPr>
      <w:r>
        <w:rPr>
          <w:rFonts w:hint="eastAsia"/>
        </w:rPr>
        <w:t>3.评价方法</w:t>
      </w:r>
    </w:p>
    <w:p>
      <w:pPr>
        <w:ind w:firstLine="560"/>
      </w:pPr>
      <w:r>
        <w:rPr>
          <w:rFonts w:hint="eastAsia"/>
        </w:rPr>
        <w:t>本项目绩效评价小组根据项目资金的性质和特点，选用比较法、因素分析法、公众评判法以及文献法对项目进行评价，旨在通过综合分析影响绩效目标实现、实施效果的内外部因素，从而评价本项目绩效。</w:t>
      </w:r>
    </w:p>
    <w:p>
      <w:pPr>
        <w:ind w:firstLine="560"/>
      </w:pPr>
      <w:r>
        <w:rPr>
          <w:rFonts w:hint="eastAsia"/>
        </w:rPr>
        <w:t>三级指标分析环节：总体采用比较法，同时辅以成本效益法、因素分析法以及公众评判法，根据不同三级指标类型进行逐项分析。</w:t>
      </w:r>
    </w:p>
    <w:p>
      <w:pPr>
        <w:ind w:firstLine="560"/>
      </w:pPr>
      <w:r>
        <w:rPr>
          <w:rFonts w:hint="eastAsia"/>
        </w:rPr>
        <w:t>（1）定量指标分析环节：主要采用比较法，对比三级指标预期指标值和三级指标截止评价日的完成情况，综合分析绩效目标实现程度。详细评价方法的应用如下：</w:t>
      </w:r>
    </w:p>
    <w:p>
      <w:pPr>
        <w:ind w:firstLine="560"/>
      </w:pPr>
      <w:r>
        <w:rPr>
          <w:rFonts w:hint="eastAsia"/>
        </w:rPr>
        <w:t>一般量化统计类等定量指标：通过对比实际完成值和预期指标值，达成预期指标值的，记该指标所赋全部分值；对完成值高于指标值较多的，需要分析原因，如果是由于年初指标值设定明显偏低造成的，要按照偏离度适度调减分值；未完成指标值的，按照完成值与指标值的比值计算分值。</w:t>
      </w:r>
    </w:p>
    <w:p>
      <w:pPr>
        <w:ind w:firstLine="560"/>
      </w:pPr>
      <w:r>
        <w:rPr>
          <w:rFonts w:hint="eastAsia"/>
        </w:rPr>
        <w:t>属于“是”或“否”判断的单一评判定量指标：比较法，符合要求的得满分，不符合要求的不得分或者扣相应的分数。</w:t>
      </w:r>
    </w:p>
    <w:p>
      <w:pPr>
        <w:ind w:firstLine="560"/>
      </w:pPr>
      <w:r>
        <w:rPr>
          <w:rFonts w:hint="eastAsia"/>
        </w:rPr>
        <w:t>满意度指标：主要采用比较法，据满意度问卷统计情况计算完成比率与预期指标值对比，达成满意度预期目标的，得满分；未完成指标值的，按照完成值与预期指标值的比值计算得分。</w:t>
      </w:r>
    </w:p>
    <w:p>
      <w:pPr>
        <w:ind w:firstLine="560"/>
      </w:pPr>
      <w:r>
        <w:rPr>
          <w:rFonts w:hint="eastAsia"/>
        </w:rPr>
        <w:t>定性指标分析环节：主要采用公众评判法，通过问卷及抽样调查等方式评价本项目实施后社会公众对于其实施效果的满意程度，将调研结果按照《中央部门项目支出核心绩效目标和指标设置及取值指引（试行）》（财预〔2021〕101号）文件要求分为基本达成目标、部分实现目标、实现目标程度较低三个档次，并分别按照该指标对应分值区间100%-80%（含）、80%-60%（含）、60%-0%合理确定分值。</w:t>
      </w:r>
    </w:p>
    <w:p>
      <w:pPr>
        <w:pStyle w:val="6"/>
        <w:ind w:firstLine="560"/>
      </w:pPr>
      <w:r>
        <w:rPr>
          <w:rFonts w:hint="eastAsia"/>
        </w:rPr>
        <w:t>4.评价标准</w:t>
      </w:r>
    </w:p>
    <w:p>
      <w:pPr>
        <w:ind w:firstLine="560"/>
      </w:pPr>
      <w:r>
        <w:rPr>
          <w:rFonts w:hint="eastAsia" w:ascii="仿宋_GB2312" w:hAnsi="仿宋_GB2312" w:cs="仿宋_GB2312"/>
          <w:bCs/>
          <w:szCs w:val="28"/>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ind w:firstLine="560"/>
      </w:pPr>
      <w:r>
        <w:rPr>
          <w:rFonts w:hint="eastAsia"/>
        </w:rPr>
        <w:t>（1）计划标准：将预先制定的目标、计划、预算、定额等作为评价标准。</w:t>
      </w:r>
    </w:p>
    <w:p>
      <w:pPr>
        <w:ind w:firstLine="560"/>
      </w:pPr>
      <w:r>
        <w:rPr>
          <w:rFonts w:hint="eastAsia"/>
        </w:rPr>
        <w:t>（2）历史标准：参照历史数据制定的评价标准，为体现绩效改进的原则，在可实现的条件下应当确定相对较高的评价标准。</w:t>
      </w:r>
    </w:p>
    <w:p>
      <w:pPr>
        <w:ind w:firstLine="560"/>
      </w:pPr>
      <w:r>
        <w:rPr>
          <w:rFonts w:hint="eastAsia"/>
        </w:rPr>
        <w:t>（</w:t>
      </w:r>
      <w:r>
        <w:rPr>
          <w:rFonts w:hint="eastAsia"/>
          <w:lang w:val="en-US" w:eastAsia="zh-CN"/>
        </w:rPr>
        <w:t>3</w:t>
      </w:r>
      <w:r>
        <w:rPr>
          <w:rFonts w:hint="eastAsia"/>
        </w:rPr>
        <w:t>）财政部门和预算部门确认或认可的其他标准。</w:t>
      </w:r>
    </w:p>
    <w:p>
      <w:pPr>
        <w:pStyle w:val="5"/>
        <w:numPr>
          <w:ilvl w:val="0"/>
          <w:numId w:val="3"/>
        </w:numPr>
        <w:ind w:firstLine="643"/>
      </w:pPr>
      <w:r>
        <w:rPr>
          <w:rFonts w:hint="eastAsia"/>
        </w:rPr>
        <w:t>绩效评价工作过程</w:t>
      </w:r>
    </w:p>
    <w:p>
      <w:pPr>
        <w:ind w:firstLine="560"/>
        <w:rPr>
          <w:b/>
          <w:bCs/>
        </w:rPr>
      </w:pPr>
      <w:r>
        <w:rPr>
          <w:rFonts w:hint="eastAsia"/>
          <w:b/>
          <w:bCs/>
        </w:rPr>
        <w:t>1.前期准备</w:t>
      </w:r>
    </w:p>
    <w:p>
      <w:pPr>
        <w:ind w:firstLine="560"/>
        <w:rPr>
          <w:lang w:val="zh-TW" w:eastAsia="zh-TW"/>
        </w:rPr>
      </w:pPr>
      <w:r>
        <w:rPr>
          <w:rFonts w:hint="eastAsia"/>
        </w:rPr>
        <w:t>为确保该项目绩效评价的顺利实施，本次评价成立了绩效评价项目小组，主要负责建立联络制度、明确评价责任人、制定评价方案、实施具体评价等工作。202</w:t>
      </w:r>
      <w:r>
        <w:rPr>
          <w:rFonts w:hint="eastAsia"/>
          <w:lang w:val="en-US" w:eastAsia="zh-CN"/>
        </w:rPr>
        <w:t>4</w:t>
      </w:r>
      <w:r>
        <w:rPr>
          <w:rFonts w:hint="eastAsia"/>
        </w:rPr>
        <w:t>年</w:t>
      </w:r>
      <w:r>
        <w:rPr>
          <w:rFonts w:hint="eastAsia"/>
          <w:lang w:val="en-US" w:eastAsia="zh-CN"/>
        </w:rPr>
        <w:t>2</w:t>
      </w:r>
      <w:r>
        <w:rPr>
          <w:rFonts w:hint="eastAsia"/>
        </w:rPr>
        <w:t>月</w:t>
      </w:r>
      <w:r>
        <w:rPr>
          <w:rFonts w:hint="eastAsia"/>
          <w:lang w:val="en-US" w:eastAsia="zh-CN"/>
        </w:rPr>
        <w:t>26</w:t>
      </w:r>
      <w:r>
        <w:rPr>
          <w:rFonts w:hint="eastAsia"/>
        </w:rPr>
        <w:t>日，绩效评价项目小组成员对本项目开展前期调研。通过前期调研，确定了评价的目的、方法以及评价的原则，根据项目的内容和特征制定了评价指标体系及评价标准。绩效评价小组成员和职责如下：</w:t>
      </w:r>
    </w:p>
    <w:p>
      <w:pPr>
        <w:ind w:firstLine="560"/>
      </w:pPr>
      <w:r>
        <w:rPr>
          <w:rFonts w:hint="eastAsia"/>
        </w:rPr>
        <w:t>（1）评价组组长：</w:t>
      </w:r>
      <w:r>
        <w:rPr>
          <w:rFonts w:hint="eastAsia"/>
          <w:lang w:eastAsia="zh-CN"/>
        </w:rPr>
        <w:t>李想</w:t>
      </w:r>
      <w:r>
        <w:rPr>
          <w:rFonts w:hint="eastAsia"/>
        </w:rPr>
        <w:t>，主要负责确定绩效评价模板、总体协调沟通、全盘统筹、总体质量把关等工作。</w:t>
      </w:r>
    </w:p>
    <w:p>
      <w:pPr>
        <w:ind w:firstLine="560"/>
      </w:pPr>
      <w:r>
        <w:rPr>
          <w:rFonts w:hint="eastAsia"/>
        </w:rPr>
        <w:t>（2）评价组成员：茹勇，主要负责绩效评价现场督导，对评价组成员的评价检查工作提供技术指导与支持，对实效评价工作质量把关。</w:t>
      </w:r>
    </w:p>
    <w:p>
      <w:pPr>
        <w:ind w:firstLine="560"/>
      </w:pPr>
      <w:r>
        <w:rPr>
          <w:rFonts w:hint="eastAsia"/>
        </w:rPr>
        <w:t>（3）评价组成员：后胜鹏，主要负责现场调研工作，完成收集整理资料、审核数据、填报绩效评价内容等工作。</w:t>
      </w:r>
    </w:p>
    <w:p>
      <w:pPr>
        <w:ind w:firstLine="560"/>
        <w:rPr>
          <w:b/>
          <w:bCs/>
        </w:rPr>
      </w:pPr>
      <w:r>
        <w:rPr>
          <w:rFonts w:hint="eastAsia"/>
          <w:b/>
          <w:bCs/>
        </w:rPr>
        <w:t>2.组织实施</w:t>
      </w:r>
    </w:p>
    <w:p>
      <w:pPr>
        <w:ind w:firstLine="560"/>
      </w:pPr>
      <w:r>
        <w:rPr>
          <w:rFonts w:hint="eastAsia"/>
        </w:rPr>
        <w:t>202</w:t>
      </w:r>
      <w:r>
        <w:rPr>
          <w:rFonts w:hint="eastAsia"/>
          <w:lang w:val="en-US" w:eastAsia="zh-CN"/>
        </w:rPr>
        <w:t>4</w:t>
      </w:r>
      <w:r>
        <w:rPr>
          <w:rFonts w:hint="eastAsia"/>
        </w:rPr>
        <w:t>年3月</w:t>
      </w:r>
      <w:r>
        <w:rPr>
          <w:rFonts w:hint="eastAsia"/>
          <w:lang w:val="en-US" w:eastAsia="zh-CN"/>
        </w:rPr>
        <w:t>1</w:t>
      </w:r>
      <w:r>
        <w:rPr>
          <w:rFonts w:hint="eastAsia"/>
        </w:rPr>
        <w:t>日-3月</w:t>
      </w:r>
      <w:r>
        <w:rPr>
          <w:rFonts w:hint="eastAsia"/>
          <w:lang w:val="en-US" w:eastAsia="zh-CN"/>
        </w:rPr>
        <w:t>5</w:t>
      </w:r>
      <w:r>
        <w:rPr>
          <w:rFonts w:hint="eastAsia"/>
        </w:rPr>
        <w:t>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p>
    <w:p>
      <w:pPr>
        <w:ind w:firstLine="560"/>
        <w:rPr>
          <w:b/>
          <w:bCs/>
        </w:rPr>
      </w:pPr>
      <w:r>
        <w:rPr>
          <w:rFonts w:hint="eastAsia"/>
          <w:b/>
          <w:bCs/>
        </w:rPr>
        <w:t>3.分析评价和撰写报告</w:t>
      </w:r>
    </w:p>
    <w:p>
      <w:pPr>
        <w:ind w:firstLine="560"/>
      </w:pPr>
      <w:r>
        <w:rPr>
          <w:rFonts w:hint="eastAsia"/>
        </w:rPr>
        <w:t>（1）综合分析评价</w:t>
      </w:r>
    </w:p>
    <w:p>
      <w:pPr>
        <w:ind w:firstLine="560"/>
      </w:pPr>
      <w:r>
        <w:rPr>
          <w:rFonts w:hint="eastAsia"/>
        </w:rPr>
        <w:t>202</w:t>
      </w:r>
      <w:r>
        <w:rPr>
          <w:rFonts w:hint="eastAsia"/>
          <w:lang w:val="en-US" w:eastAsia="zh-CN"/>
        </w:rPr>
        <w:t>4</w:t>
      </w:r>
      <w:r>
        <w:rPr>
          <w:rFonts w:hint="eastAsia"/>
        </w:rPr>
        <w:t>年3月</w:t>
      </w:r>
      <w:r>
        <w:rPr>
          <w:rFonts w:hint="eastAsia"/>
          <w:lang w:val="en-US" w:eastAsia="zh-CN"/>
        </w:rPr>
        <w:t>6</w:t>
      </w:r>
      <w:r>
        <w:rPr>
          <w:rFonts w:hint="eastAsia"/>
        </w:rPr>
        <w:t>日-3月</w:t>
      </w:r>
      <w:r>
        <w:rPr>
          <w:rFonts w:hint="eastAsia"/>
          <w:lang w:val="en-US" w:eastAsia="zh-CN"/>
        </w:rPr>
        <w:t>1</w:t>
      </w:r>
      <w:r>
        <w:rPr>
          <w:rFonts w:hint="eastAsia"/>
        </w:rPr>
        <w:t>0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p>
    <w:p>
      <w:pPr>
        <w:ind w:firstLine="560"/>
      </w:pPr>
      <w:r>
        <w:rPr>
          <w:rFonts w:hint="eastAsia"/>
        </w:rPr>
        <w:t>（2）撰写报告</w:t>
      </w:r>
    </w:p>
    <w:p>
      <w:pPr>
        <w:ind w:firstLine="560"/>
      </w:pPr>
      <w:r>
        <w:rPr>
          <w:rFonts w:hint="eastAsia"/>
        </w:rPr>
        <w:t>202</w:t>
      </w:r>
      <w:r>
        <w:rPr>
          <w:rFonts w:hint="eastAsia"/>
          <w:lang w:val="en-US" w:eastAsia="zh-CN"/>
        </w:rPr>
        <w:t>4</w:t>
      </w:r>
      <w:r>
        <w:rPr>
          <w:rFonts w:hint="eastAsia"/>
        </w:rPr>
        <w:t>年3月</w:t>
      </w:r>
      <w:r>
        <w:rPr>
          <w:rFonts w:hint="eastAsia"/>
          <w:lang w:val="en-US" w:eastAsia="zh-CN"/>
        </w:rPr>
        <w:t>11</w:t>
      </w:r>
      <w:r>
        <w:rPr>
          <w:rFonts w:hint="eastAsia"/>
        </w:rPr>
        <w:t>日-3月</w:t>
      </w:r>
      <w:r>
        <w:rPr>
          <w:rFonts w:hint="eastAsia"/>
          <w:lang w:val="en-US" w:eastAsia="zh-CN"/>
        </w:rPr>
        <w:t>25</w:t>
      </w:r>
      <w:r>
        <w:rPr>
          <w:rFonts w:hint="eastAsia"/>
        </w:rPr>
        <w:t>日，绩效评价项目小组依照整理、分析后的项目材料、数据资料，依据评价形成的初步结论，按照绩效系统中统一的格式和内容要求撰写绩效评价初步报告，最终形成评价结果。</w:t>
      </w:r>
    </w:p>
    <w:p>
      <w:pPr>
        <w:pStyle w:val="6"/>
        <w:ind w:firstLine="560"/>
      </w:pPr>
      <w:bookmarkStart w:id="12" w:name="_Toc5055"/>
      <w:r>
        <w:rPr>
          <w:rFonts w:hint="eastAsia"/>
        </w:rPr>
        <w:t>4.归集档案</w:t>
      </w:r>
      <w:bookmarkEnd w:id="12"/>
    </w:p>
    <w:p>
      <w:pPr>
        <w:ind w:firstLine="560"/>
      </w:pPr>
      <w:r>
        <w:rPr>
          <w:rFonts w:hint="eastAsia"/>
        </w:rPr>
        <w:t>我单位项目负责人落实档案管理制度，将项目相关资料存档，包括但不限于：评价项目基本情况和相关文件、评价实施方案、项目支付资料等相关档案。</w:t>
      </w:r>
    </w:p>
    <w:p>
      <w:pPr>
        <w:ind w:firstLine="560"/>
      </w:pPr>
      <w:r>
        <w:rPr>
          <w:rFonts w:hint="eastAsia"/>
        </w:rPr>
        <w:t>　</w:t>
      </w:r>
    </w:p>
    <w:p>
      <w:pPr>
        <w:pStyle w:val="4"/>
        <w:ind w:firstLine="640"/>
        <w:rPr>
          <w:rFonts w:hint="eastAsia"/>
          <w:lang w:eastAsia="zh-CN"/>
        </w:rPr>
      </w:pPr>
      <w:r>
        <w:rPr>
          <w:rFonts w:hint="eastAsia"/>
          <w:lang w:eastAsia="zh-CN"/>
        </w:rPr>
        <w:t>三、综合评价情况及评价结论</w:t>
      </w:r>
    </w:p>
    <w:p>
      <w:pPr>
        <w:pStyle w:val="5"/>
        <w:ind w:firstLine="643"/>
        <w:rPr>
          <w:rFonts w:ascii="仿宋_GB2312" w:hAnsi="仿宋_GB2312" w:cs="仿宋_GB2312"/>
        </w:rPr>
      </w:pPr>
      <w:bookmarkStart w:id="13" w:name="_Toc68364665"/>
      <w:r>
        <w:rPr>
          <w:rFonts w:hint="eastAsia" w:ascii="仿宋_GB2312" w:hAnsi="仿宋_GB2312" w:cs="仿宋_GB2312"/>
        </w:rPr>
        <w:t>（一）综合评价情况</w:t>
      </w:r>
      <w:bookmarkEnd w:id="13"/>
    </w:p>
    <w:p>
      <w:pPr>
        <w:ind w:firstLine="560"/>
      </w:pPr>
      <w:bookmarkStart w:id="14" w:name="_Toc68364666"/>
      <w:r>
        <w:rPr>
          <w:rFonts w:hint="eastAsia"/>
        </w:rPr>
        <w:tab/>
      </w:r>
      <w:r>
        <w:rPr>
          <w:rFonts w:hint="eastAsia"/>
        </w:rPr>
        <w:t>经评价，本项目</w:t>
      </w:r>
      <w:r>
        <w:rPr>
          <w:rFonts w:hint="eastAsia"/>
          <w:lang w:eastAsia="zh-CN"/>
        </w:rPr>
        <w:t>较大程度</w:t>
      </w:r>
      <w:r>
        <w:rPr>
          <w:rFonts w:hint="eastAsia"/>
        </w:rPr>
        <w:t>达到了年初设立的绩效目标，项目总体组织规范，完成了工作目标，在实施过程中取得了良好的成效，具体表现在以下四方面：</w:t>
      </w:r>
    </w:p>
    <w:p>
      <w:pPr>
        <w:ind w:firstLine="560"/>
      </w:pPr>
      <w:r>
        <w:rPr>
          <w:rFonts w:hint="eastAsia"/>
          <w:lang w:val="en-US" w:eastAsia="zh-CN"/>
        </w:rPr>
        <w:t>1、</w:t>
      </w:r>
      <w:r>
        <w:rPr>
          <w:rFonts w:hint="eastAsia"/>
        </w:rPr>
        <w:t xml:space="preserve">项目决策方面：项目立项符合法律法规、相关政策、发展规划以及部门职责，项目申请、设立过程符合相关要求，项目所设定的绩效目标依据充分，符合客观实际，依据绩效目标设定的绩效指标清晰、细化、可衡量，项目预算编制经过科学论证、有明确标准，资金额度与年度目标相适应，项目预算资金分配有测算依据，与补助单位或地方实际相适应。  </w:t>
      </w:r>
    </w:p>
    <w:p>
      <w:pPr>
        <w:ind w:firstLine="560"/>
        <w:rPr>
          <w:rFonts w:hint="eastAsia"/>
        </w:rPr>
      </w:pPr>
      <w:r>
        <w:rPr>
          <w:rFonts w:hint="eastAsia"/>
          <w:lang w:val="en-US" w:eastAsia="zh-CN"/>
        </w:rPr>
        <w:t>2、</w:t>
      </w:r>
      <w:r>
        <w:rPr>
          <w:rFonts w:hint="eastAsia"/>
        </w:rPr>
        <w:t>项目管理方面：项目预算资金按照计划执行，项目资金使用符合相关的财务管理制度规定，项目实施单位的财务和业务管理制度健全，项目实施符合相关管理规定，项目调整及支出调整手续完备。</w:t>
      </w:r>
    </w:p>
    <w:p>
      <w:pPr>
        <w:ind w:firstLine="560"/>
        <w:rPr>
          <w:rFonts w:hint="default" w:ascii="仿宋_GB2312" w:hAnsi="仿宋_GB2312" w:eastAsia="仿宋_GB2312" w:cs="Times New Roman"/>
          <w:b w:val="0"/>
          <w:bCs w:val="0"/>
          <w:kern w:val="0"/>
          <w:sz w:val="28"/>
          <w:szCs w:val="32"/>
          <w:lang w:val="en-US" w:eastAsia="zh-CN" w:bidi="ar-SA"/>
        </w:rPr>
      </w:pPr>
      <w:r>
        <w:rPr>
          <w:rFonts w:hint="eastAsia"/>
          <w:lang w:val="en-US" w:eastAsia="zh-CN"/>
        </w:rPr>
        <w:t>3、</w:t>
      </w:r>
      <w:r>
        <w:rPr>
          <w:rFonts w:hint="eastAsia" w:ascii="仿宋_GB2312" w:hAnsi="仿宋_GB2312" w:eastAsia="仿宋_GB2312" w:cs="Times New Roman"/>
          <w:b w:val="0"/>
          <w:bCs w:val="0"/>
          <w:kern w:val="0"/>
          <w:sz w:val="28"/>
          <w:szCs w:val="32"/>
          <w:lang w:val="en-US" w:eastAsia="zh-CN" w:bidi="ar-SA"/>
        </w:rPr>
        <w:t>项目产出</w:t>
      </w:r>
      <w:r>
        <w:rPr>
          <w:rFonts w:hint="eastAsia" w:ascii="仿宋_GB2312" w:hAnsi="仿宋_GB2312" w:cs="Times New Roman"/>
          <w:b w:val="0"/>
          <w:bCs w:val="0"/>
          <w:kern w:val="0"/>
          <w:sz w:val="28"/>
          <w:szCs w:val="32"/>
          <w:lang w:val="en-US" w:eastAsia="zh-CN" w:bidi="ar-SA"/>
        </w:rPr>
        <w:t>及效益</w:t>
      </w:r>
      <w:r>
        <w:rPr>
          <w:rFonts w:hint="eastAsia" w:ascii="仿宋_GB2312" w:hAnsi="仿宋_GB2312" w:eastAsia="仿宋_GB2312" w:cs="Times New Roman"/>
          <w:b w:val="0"/>
          <w:bCs w:val="0"/>
          <w:kern w:val="0"/>
          <w:sz w:val="28"/>
          <w:szCs w:val="32"/>
          <w:lang w:val="en-US" w:eastAsia="zh-CN" w:bidi="ar-SA"/>
        </w:rPr>
        <w:t>方面：</w:t>
      </w:r>
      <w:r>
        <w:rPr>
          <w:rFonts w:hint="eastAsia" w:ascii="仿宋_GB2312" w:hAnsi="仿宋_GB2312" w:cs="Times New Roman"/>
          <w:b w:val="0"/>
          <w:bCs w:val="0"/>
          <w:kern w:val="0"/>
          <w:sz w:val="28"/>
          <w:szCs w:val="32"/>
          <w:lang w:val="en-US" w:eastAsia="zh-CN" w:bidi="ar-SA"/>
        </w:rPr>
        <w:t>（1）</w:t>
      </w:r>
      <w:r>
        <w:rPr>
          <w:rFonts w:hint="eastAsia" w:ascii="仿宋_GB2312" w:hAnsi="仿宋_GB2312" w:eastAsia="仿宋_GB2312" w:cs="Times New Roman"/>
          <w:b w:val="0"/>
          <w:bCs w:val="0"/>
          <w:kern w:val="0"/>
          <w:sz w:val="28"/>
          <w:szCs w:val="32"/>
          <w:lang w:val="en-US" w:eastAsia="zh-CN" w:bidi="ar-SA"/>
        </w:rPr>
        <w:t>截至2023年底，项目的实施</w:t>
      </w:r>
      <w:r>
        <w:rPr>
          <w:rFonts w:hint="eastAsia" w:ascii="仿宋_GB2312" w:hAnsi="仿宋_GB2312" w:cs="Times New Roman"/>
          <w:b w:val="0"/>
          <w:bCs w:val="0"/>
          <w:kern w:val="0"/>
          <w:sz w:val="28"/>
          <w:szCs w:val="32"/>
          <w:lang w:val="en-US" w:eastAsia="zh-CN" w:bidi="ar-SA"/>
        </w:rPr>
        <w:t>保障县城2800余盏路灯正常照明，有效</w:t>
      </w:r>
      <w:r>
        <w:rPr>
          <w:rFonts w:hint="eastAsia" w:ascii="仿宋_GB2312" w:hAnsi="仿宋_GB2312" w:eastAsia="仿宋_GB2312" w:cs="Times New Roman"/>
          <w:b w:val="0"/>
          <w:bCs w:val="0"/>
          <w:kern w:val="0"/>
          <w:sz w:val="28"/>
          <w:szCs w:val="32"/>
          <w:lang w:val="en-US" w:eastAsia="zh-CN" w:bidi="ar-SA"/>
        </w:rPr>
        <w:t>提升</w:t>
      </w:r>
      <w:r>
        <w:rPr>
          <w:rFonts w:hint="eastAsia" w:ascii="仿宋_GB2312" w:hAnsi="仿宋_GB2312" w:cs="Times New Roman"/>
          <w:b w:val="0"/>
          <w:bCs w:val="0"/>
          <w:kern w:val="0"/>
          <w:sz w:val="28"/>
          <w:szCs w:val="32"/>
          <w:lang w:val="en-US" w:eastAsia="zh-CN" w:bidi="ar-SA"/>
        </w:rPr>
        <w:t>了</w:t>
      </w:r>
      <w:r>
        <w:rPr>
          <w:rFonts w:hint="eastAsia" w:ascii="仿宋_GB2312" w:hAnsi="仿宋_GB2312" w:eastAsia="仿宋_GB2312" w:cs="Times New Roman"/>
          <w:b w:val="0"/>
          <w:bCs w:val="0"/>
          <w:kern w:val="0"/>
          <w:sz w:val="28"/>
          <w:szCs w:val="32"/>
          <w:lang w:val="en-US" w:eastAsia="zh-CN" w:bidi="ar-SA"/>
        </w:rPr>
        <w:t>城市品质，规范</w:t>
      </w:r>
      <w:r>
        <w:rPr>
          <w:rFonts w:hint="eastAsia" w:ascii="仿宋_GB2312" w:hAnsi="仿宋_GB2312" w:cs="Times New Roman"/>
          <w:b w:val="0"/>
          <w:bCs w:val="0"/>
          <w:kern w:val="0"/>
          <w:sz w:val="28"/>
          <w:szCs w:val="32"/>
          <w:lang w:val="en-US" w:eastAsia="zh-CN" w:bidi="ar-SA"/>
        </w:rPr>
        <w:t>了</w:t>
      </w:r>
      <w:r>
        <w:rPr>
          <w:rFonts w:hint="eastAsia" w:ascii="仿宋_GB2312" w:hAnsi="仿宋_GB2312" w:eastAsia="仿宋_GB2312" w:cs="Times New Roman"/>
          <w:b w:val="0"/>
          <w:bCs w:val="0"/>
          <w:kern w:val="0"/>
          <w:sz w:val="28"/>
          <w:szCs w:val="32"/>
          <w:lang w:val="en-US" w:eastAsia="zh-CN" w:bidi="ar-SA"/>
        </w:rPr>
        <w:t>交通秩序，打造</w:t>
      </w:r>
      <w:r>
        <w:rPr>
          <w:rFonts w:hint="eastAsia" w:ascii="仿宋_GB2312" w:hAnsi="仿宋_GB2312" w:cs="Times New Roman"/>
          <w:b w:val="0"/>
          <w:bCs w:val="0"/>
          <w:kern w:val="0"/>
          <w:sz w:val="28"/>
          <w:szCs w:val="32"/>
          <w:lang w:val="en-US" w:eastAsia="zh-CN" w:bidi="ar-SA"/>
        </w:rPr>
        <w:t>了</w:t>
      </w:r>
      <w:r>
        <w:rPr>
          <w:rFonts w:hint="eastAsia" w:ascii="仿宋_GB2312" w:hAnsi="仿宋_GB2312" w:eastAsia="仿宋_GB2312" w:cs="Times New Roman"/>
          <w:b w:val="0"/>
          <w:bCs w:val="0"/>
          <w:kern w:val="0"/>
          <w:sz w:val="28"/>
          <w:szCs w:val="32"/>
          <w:lang w:val="en-US" w:eastAsia="zh-CN" w:bidi="ar-SA"/>
        </w:rPr>
        <w:t>平安、有序、规范的托克逊</w:t>
      </w:r>
      <w:r>
        <w:rPr>
          <w:rFonts w:hint="eastAsia" w:ascii="仿宋_GB2312" w:hAnsi="仿宋_GB2312" w:cs="Times New Roman"/>
          <w:b w:val="0"/>
          <w:bCs w:val="0"/>
          <w:kern w:val="0"/>
          <w:sz w:val="28"/>
          <w:szCs w:val="32"/>
          <w:lang w:val="en-US" w:eastAsia="zh-CN" w:bidi="ar-SA"/>
        </w:rPr>
        <w:t>；（2）全年保障56辆</w:t>
      </w:r>
      <w:r>
        <w:rPr>
          <w:rFonts w:hint="eastAsia" w:cs="Times New Roman"/>
          <w:b w:val="0"/>
          <w:bCs w:val="0"/>
          <w:kern w:val="0"/>
          <w:sz w:val="28"/>
          <w:szCs w:val="32"/>
          <w:lang w:val="en-US" w:eastAsia="zh-CN" w:bidi="ar-SA"/>
        </w:rPr>
        <w:t>环卫园林作业车辆和机械正常运行，</w:t>
      </w:r>
      <w:r>
        <w:rPr>
          <w:rFonts w:hint="eastAsia" w:ascii="仿宋_GB2312" w:hAnsi="仿宋_GB2312" w:cs="Times New Roman"/>
          <w:b w:val="0"/>
          <w:bCs w:val="0"/>
          <w:kern w:val="0"/>
          <w:sz w:val="28"/>
          <w:szCs w:val="32"/>
          <w:lang w:val="en-US" w:eastAsia="zh-CN" w:bidi="ar-SA"/>
        </w:rPr>
        <w:t>确保</w:t>
      </w:r>
      <w:r>
        <w:rPr>
          <w:rFonts w:hint="eastAsia" w:ascii="仿宋_GB2312" w:hAnsi="仿宋_GB2312" w:eastAsia="仿宋_GB2312" w:cs="Times New Roman"/>
          <w:b w:val="0"/>
          <w:bCs w:val="0"/>
          <w:kern w:val="0"/>
          <w:sz w:val="28"/>
          <w:szCs w:val="32"/>
          <w:lang w:val="en-US" w:eastAsia="zh-CN" w:bidi="ar-SA"/>
        </w:rPr>
        <w:t>城市辖区主次、支道路清扫保洁全覆盖、无死角，清扫保洁率达100%，划定职责区，实现全收集，密闭化清运率达到100%。结合农村人居环境综合整治工作的总体部署，推动人居环境由“清脏”“治乱”拓展</w:t>
      </w:r>
      <w:r>
        <w:rPr>
          <w:rFonts w:hint="eastAsia" w:ascii="仿宋_GB2312" w:hAnsi="仿宋_GB2312" w:cs="Times New Roman"/>
          <w:b w:val="0"/>
          <w:bCs w:val="0"/>
          <w:kern w:val="0"/>
          <w:sz w:val="28"/>
          <w:szCs w:val="32"/>
          <w:lang w:val="en-US" w:eastAsia="zh-CN" w:bidi="ar-SA"/>
        </w:rPr>
        <w:t>;</w:t>
      </w:r>
      <w:r>
        <w:rPr>
          <w:rFonts w:hint="eastAsia"/>
          <w:lang w:val="en-US" w:eastAsia="zh-CN"/>
        </w:rPr>
        <w:t>（3）</w:t>
      </w:r>
      <w:r>
        <w:rPr>
          <w:rFonts w:hint="eastAsia" w:ascii="仿宋_GB2312" w:hAnsi="仿宋_GB2312" w:eastAsia="仿宋_GB2312" w:cs="Times New Roman"/>
          <w:b w:val="0"/>
          <w:bCs w:val="0"/>
          <w:kern w:val="0"/>
          <w:sz w:val="28"/>
          <w:szCs w:val="32"/>
          <w:lang w:val="en-US" w:eastAsia="zh-CN" w:bidi="ar-SA"/>
        </w:rPr>
        <w:t>完成城区</w:t>
      </w:r>
      <w:r>
        <w:rPr>
          <w:rFonts w:hint="eastAsia" w:ascii="仿宋_GB2312" w:hAnsi="仿宋_GB2312" w:cs="Times New Roman"/>
          <w:b w:val="0"/>
          <w:bCs w:val="0"/>
          <w:kern w:val="0"/>
          <w:sz w:val="28"/>
          <w:szCs w:val="32"/>
          <w:lang w:val="en-US" w:eastAsia="zh-CN" w:bidi="ar-SA"/>
        </w:rPr>
        <w:t>新增</w:t>
      </w:r>
      <w:r>
        <w:rPr>
          <w:rFonts w:hint="eastAsia" w:ascii="仿宋_GB2312" w:hAnsi="仿宋_GB2312" w:eastAsia="仿宋_GB2312" w:cs="Times New Roman"/>
          <w:b w:val="0"/>
          <w:bCs w:val="0"/>
          <w:kern w:val="0"/>
          <w:sz w:val="28"/>
          <w:szCs w:val="32"/>
          <w:lang w:val="en-US" w:eastAsia="zh-CN" w:bidi="ar-SA"/>
        </w:rPr>
        <w:t>绿化补植补栽</w:t>
      </w:r>
      <w:r>
        <w:rPr>
          <w:rFonts w:hint="eastAsia" w:ascii="仿宋_GB2312" w:hAnsi="仿宋_GB2312" w:cs="Times New Roman"/>
          <w:b w:val="0"/>
          <w:bCs w:val="0"/>
          <w:kern w:val="0"/>
          <w:sz w:val="28"/>
          <w:szCs w:val="32"/>
          <w:lang w:val="en-US" w:eastAsia="zh-CN" w:bidi="ar-SA"/>
        </w:rPr>
        <w:t>面积500平方米</w:t>
      </w:r>
      <w:r>
        <w:rPr>
          <w:rFonts w:hint="eastAsia" w:ascii="仿宋_GB2312" w:hAnsi="仿宋_GB2312" w:eastAsia="仿宋_GB2312" w:cs="Times New Roman"/>
          <w:b w:val="0"/>
          <w:bCs w:val="0"/>
          <w:kern w:val="0"/>
          <w:sz w:val="28"/>
          <w:szCs w:val="32"/>
          <w:lang w:val="en-US" w:eastAsia="zh-CN" w:bidi="ar-SA"/>
        </w:rPr>
        <w:t>。主要完成友好路、人民路、和谐路、滨河路、解放路、团结路、外环路、合欢公园、胡杨公园、玫瑰公园及街头绿地等补植补栽，新建道路中山路、纬一路、经三路、南疆路等道路绿化。共种植乔木15421棵、灌木128.641万株；种植草花五叶地棉（爬山虎）500株、地被菊17.5万株、大花萱草7000株、玫瑰8万株</w:t>
      </w:r>
      <w:r>
        <w:rPr>
          <w:rFonts w:hint="eastAsia" w:ascii="仿宋_GB2312" w:hAnsi="仿宋_GB2312" w:cs="Times New Roman"/>
          <w:b w:val="0"/>
          <w:bCs w:val="0"/>
          <w:kern w:val="0"/>
          <w:sz w:val="28"/>
          <w:szCs w:val="32"/>
          <w:lang w:val="en-US" w:eastAsia="zh-CN" w:bidi="ar-SA"/>
        </w:rPr>
        <w:t>；（4）</w:t>
      </w:r>
      <w:r>
        <w:rPr>
          <w:rFonts w:hint="eastAsia" w:ascii="仿宋_GB2312" w:hAnsi="仿宋_GB2312" w:eastAsia="仿宋_GB2312" w:cs="Times New Roman"/>
          <w:b w:val="0"/>
          <w:bCs w:val="0"/>
          <w:kern w:val="0"/>
          <w:sz w:val="28"/>
          <w:szCs w:val="32"/>
          <w:lang w:val="en-US" w:eastAsia="zh-CN" w:bidi="ar-SA"/>
        </w:rPr>
        <w:t>截止2023年底，维修破损路面及人行道11000余㎡、更换原有红绿灯信号线840米、维护红绿灯指示牌3个、更换道路中央护栏12节，维护更换各类井盖140余个</w:t>
      </w:r>
      <w:r>
        <w:rPr>
          <w:rFonts w:hint="eastAsia" w:ascii="仿宋_GB2312" w:hAnsi="仿宋_GB2312" w:cs="Times New Roman"/>
          <w:b w:val="0"/>
          <w:bCs w:val="0"/>
          <w:kern w:val="0"/>
          <w:sz w:val="28"/>
          <w:szCs w:val="32"/>
          <w:lang w:val="en-US" w:eastAsia="zh-CN" w:bidi="ar-SA"/>
        </w:rPr>
        <w:t>，</w:t>
      </w:r>
      <w:r>
        <w:rPr>
          <w:rFonts w:hint="eastAsia" w:ascii="仿宋_GB2312" w:hAnsi="仿宋_GB2312" w:eastAsia="仿宋_GB2312" w:cs="Times New Roman"/>
          <w:b w:val="0"/>
          <w:bCs w:val="0"/>
          <w:kern w:val="0"/>
          <w:sz w:val="28"/>
          <w:szCs w:val="32"/>
          <w:lang w:val="en-US" w:eastAsia="zh-CN" w:bidi="ar-SA"/>
        </w:rPr>
        <w:t>总共进行市政修复工程数量</w:t>
      </w:r>
      <w:r>
        <w:rPr>
          <w:rFonts w:hint="eastAsia" w:ascii="仿宋_GB2312" w:hAnsi="仿宋_GB2312" w:cs="Times New Roman"/>
          <w:b w:val="0"/>
          <w:bCs w:val="0"/>
          <w:kern w:val="0"/>
          <w:sz w:val="28"/>
          <w:szCs w:val="32"/>
          <w:lang w:val="en-US" w:eastAsia="zh-CN" w:bidi="ar-SA"/>
        </w:rPr>
        <w:t>达到98次。本项目</w:t>
      </w:r>
      <w:r>
        <w:rPr>
          <w:rFonts w:hint="eastAsia" w:ascii="仿宋_GB2312" w:hAnsi="仿宋_GB2312" w:eastAsia="仿宋_GB2312" w:cs="Times New Roman"/>
          <w:b w:val="0"/>
          <w:bCs w:val="0"/>
          <w:kern w:val="0"/>
          <w:sz w:val="28"/>
          <w:szCs w:val="32"/>
          <w:lang w:val="en-US" w:eastAsia="zh-CN" w:bidi="ar-SA"/>
        </w:rPr>
        <w:t>极大的改善</w:t>
      </w:r>
      <w:r>
        <w:rPr>
          <w:rFonts w:hint="eastAsia" w:ascii="仿宋_GB2312" w:hAnsi="仿宋_GB2312" w:cs="Times New Roman"/>
          <w:b w:val="0"/>
          <w:bCs w:val="0"/>
          <w:kern w:val="0"/>
          <w:sz w:val="28"/>
          <w:szCs w:val="32"/>
          <w:lang w:val="en-US" w:eastAsia="zh-CN" w:bidi="ar-SA"/>
        </w:rPr>
        <w:t>了</w:t>
      </w:r>
      <w:r>
        <w:rPr>
          <w:rFonts w:hint="eastAsia" w:ascii="仿宋_GB2312" w:hAnsi="仿宋_GB2312" w:eastAsia="仿宋_GB2312" w:cs="Times New Roman"/>
          <w:b w:val="0"/>
          <w:bCs w:val="0"/>
          <w:kern w:val="0"/>
          <w:sz w:val="28"/>
          <w:szCs w:val="32"/>
          <w:lang w:val="en-US" w:eastAsia="zh-CN" w:bidi="ar-SA"/>
        </w:rPr>
        <w:t>城市公共基础设施建设运行水平，城区绿化覆盖率达到43.37</w:t>
      </w:r>
      <w:r>
        <w:rPr>
          <w:rFonts w:hint="eastAsia" w:ascii="仿宋_GB2312" w:hAnsi="仿宋_GB2312" w:cs="Times New Roman"/>
          <w:b w:val="0"/>
          <w:bCs w:val="0"/>
          <w:kern w:val="0"/>
          <w:sz w:val="28"/>
          <w:szCs w:val="32"/>
          <w:lang w:val="en-US" w:eastAsia="zh-CN" w:bidi="ar-SA"/>
        </w:rPr>
        <w:t>%</w:t>
      </w:r>
      <w:r>
        <w:rPr>
          <w:rFonts w:hint="eastAsia" w:ascii="仿宋_GB2312" w:hAnsi="仿宋_GB2312" w:eastAsia="仿宋_GB2312" w:cs="Times New Roman"/>
          <w:b w:val="0"/>
          <w:bCs w:val="0"/>
          <w:kern w:val="0"/>
          <w:sz w:val="28"/>
          <w:szCs w:val="32"/>
          <w:lang w:val="en-US" w:eastAsia="zh-CN" w:bidi="ar-SA"/>
        </w:rPr>
        <w:t>。</w:t>
      </w:r>
    </w:p>
    <w:bookmarkEnd w:id="14"/>
    <w:p>
      <w:pPr>
        <w:pStyle w:val="5"/>
        <w:ind w:firstLine="643"/>
        <w:rPr>
          <w:rFonts w:hint="eastAsia" w:eastAsia="楷体"/>
          <w:lang w:eastAsia="zh-CN"/>
        </w:rPr>
      </w:pPr>
      <w:r>
        <w:rPr>
          <w:rFonts w:hint="eastAsia" w:ascii="仿宋_GB2312" w:hAnsi="仿宋_GB2312" w:cs="仿宋_GB2312"/>
        </w:rPr>
        <w:t>（</w:t>
      </w:r>
      <w:r>
        <w:rPr>
          <w:rFonts w:hint="eastAsia" w:ascii="仿宋_GB2312" w:hAnsi="仿宋_GB2312" w:cs="仿宋_GB2312"/>
          <w:lang w:eastAsia="zh-CN"/>
        </w:rPr>
        <w:t>二</w:t>
      </w:r>
      <w:r>
        <w:rPr>
          <w:rFonts w:hint="eastAsia" w:ascii="仿宋_GB2312" w:hAnsi="仿宋_GB2312" w:cs="仿宋_GB2312"/>
        </w:rPr>
        <w:t>）综合评价</w:t>
      </w:r>
      <w:r>
        <w:rPr>
          <w:rFonts w:hint="eastAsia" w:ascii="仿宋_GB2312" w:hAnsi="仿宋_GB2312" w:cs="仿宋_GB2312"/>
          <w:lang w:eastAsia="zh-CN"/>
        </w:rPr>
        <w:t>结论</w:t>
      </w:r>
    </w:p>
    <w:p>
      <w:pPr>
        <w:ind w:firstLine="560"/>
        <w:jc w:val="left"/>
      </w:pPr>
      <w:r>
        <w:rPr>
          <w:rFonts w:hint="eastAsia"/>
        </w:rPr>
        <w:t>此次绩效评价通过绩效评价小组论证的评价指标体系及评分标准，采用比较法、公众评判法、因素分析法等对本项目绩效进行客观评价，最终评分结果：总分为</w:t>
      </w:r>
      <w:r>
        <w:rPr>
          <w:rFonts w:hint="eastAsia"/>
          <w:highlight w:val="none"/>
          <w:lang w:val="en-US" w:eastAsia="zh-CN"/>
        </w:rPr>
        <w:t>96.21</w:t>
      </w:r>
      <w:r>
        <w:rPr>
          <w:rFonts w:hint="eastAsia"/>
          <w:highlight w:val="none"/>
        </w:rPr>
        <w:t>分，绩效评级为“优秀”。综合评价结论如下：本项目决策指标共设置6个，满分20分，</w:t>
      </w:r>
      <w:r>
        <w:rPr>
          <w:rFonts w:hint="eastAsia"/>
          <w:highlight w:val="none"/>
          <w:lang w:eastAsia="zh-CN"/>
        </w:rPr>
        <w:t>得分</w:t>
      </w:r>
      <w:r>
        <w:rPr>
          <w:rFonts w:hint="eastAsia"/>
          <w:highlight w:val="none"/>
          <w:lang w:val="en-US" w:eastAsia="zh-CN"/>
        </w:rPr>
        <w:t>19.5分，</w:t>
      </w:r>
      <w:r>
        <w:rPr>
          <w:rFonts w:hint="eastAsia"/>
          <w:highlight w:val="none"/>
        </w:rPr>
        <w:t>得分率</w:t>
      </w:r>
      <w:r>
        <w:rPr>
          <w:rFonts w:hint="eastAsia"/>
          <w:highlight w:val="none"/>
          <w:lang w:val="en-US" w:eastAsia="zh-CN"/>
        </w:rPr>
        <w:t>97.5</w:t>
      </w:r>
      <w:r>
        <w:rPr>
          <w:rFonts w:hint="eastAsia"/>
          <w:highlight w:val="none"/>
        </w:rPr>
        <w:t>%；项目过程指标共设置5个，满分20分，</w:t>
      </w:r>
      <w:r>
        <w:rPr>
          <w:rFonts w:hint="eastAsia"/>
          <w:highlight w:val="none"/>
          <w:lang w:eastAsia="zh-CN"/>
        </w:rPr>
        <w:t>得分</w:t>
      </w:r>
      <w:r>
        <w:rPr>
          <w:rFonts w:hint="eastAsia"/>
          <w:highlight w:val="none"/>
          <w:lang w:val="en-US" w:eastAsia="zh-CN"/>
        </w:rPr>
        <w:t>20分，</w:t>
      </w:r>
      <w:r>
        <w:rPr>
          <w:rFonts w:hint="eastAsia"/>
          <w:highlight w:val="none"/>
        </w:rPr>
        <w:t>得分率100%；项目产出指标共设置</w:t>
      </w:r>
      <w:r>
        <w:rPr>
          <w:rFonts w:hint="eastAsia"/>
          <w:highlight w:val="none"/>
          <w:lang w:val="en-US" w:eastAsia="zh-CN"/>
        </w:rPr>
        <w:t>9</w:t>
      </w:r>
      <w:r>
        <w:rPr>
          <w:rFonts w:hint="eastAsia"/>
          <w:highlight w:val="none"/>
        </w:rPr>
        <w:t>个，满分</w:t>
      </w:r>
      <w:r>
        <w:rPr>
          <w:rFonts w:hint="eastAsia"/>
          <w:highlight w:val="none"/>
          <w:lang w:val="en-US" w:eastAsia="zh-CN"/>
        </w:rPr>
        <w:t>24</w:t>
      </w:r>
      <w:r>
        <w:rPr>
          <w:rFonts w:hint="eastAsia"/>
          <w:highlight w:val="none"/>
        </w:rPr>
        <w:t>分，</w:t>
      </w:r>
      <w:r>
        <w:rPr>
          <w:rFonts w:hint="eastAsia"/>
          <w:highlight w:val="none"/>
          <w:lang w:eastAsia="zh-CN"/>
        </w:rPr>
        <w:t>得分</w:t>
      </w:r>
      <w:r>
        <w:rPr>
          <w:rFonts w:hint="eastAsia"/>
          <w:highlight w:val="none"/>
          <w:lang w:val="en-US" w:eastAsia="zh-CN"/>
        </w:rPr>
        <w:t>24分，</w:t>
      </w:r>
      <w:r>
        <w:rPr>
          <w:rFonts w:hint="eastAsia"/>
          <w:highlight w:val="none"/>
        </w:rPr>
        <w:t>得分率100%；</w:t>
      </w:r>
      <w:r>
        <w:rPr>
          <w:rFonts w:hint="eastAsia"/>
          <w:highlight w:val="none"/>
          <w:lang w:eastAsia="zh-CN"/>
        </w:rPr>
        <w:t>成本类</w:t>
      </w:r>
      <w:r>
        <w:rPr>
          <w:rFonts w:hint="eastAsia"/>
          <w:highlight w:val="none"/>
        </w:rPr>
        <w:t>指标共设置</w:t>
      </w:r>
      <w:r>
        <w:rPr>
          <w:rFonts w:hint="eastAsia"/>
          <w:highlight w:val="none"/>
          <w:lang w:val="en-US" w:eastAsia="zh-CN"/>
        </w:rPr>
        <w:t>4</w:t>
      </w:r>
      <w:r>
        <w:rPr>
          <w:rFonts w:hint="eastAsia"/>
          <w:highlight w:val="none"/>
        </w:rPr>
        <w:t>个，满分</w:t>
      </w:r>
      <w:r>
        <w:rPr>
          <w:rFonts w:hint="eastAsia"/>
          <w:highlight w:val="none"/>
          <w:lang w:val="en-US" w:eastAsia="zh-CN"/>
        </w:rPr>
        <w:t>12</w:t>
      </w:r>
      <w:r>
        <w:rPr>
          <w:rFonts w:hint="eastAsia"/>
          <w:highlight w:val="none"/>
        </w:rPr>
        <w:t>分，</w:t>
      </w:r>
      <w:r>
        <w:rPr>
          <w:rFonts w:hint="eastAsia"/>
          <w:highlight w:val="none"/>
          <w:lang w:eastAsia="zh-CN"/>
        </w:rPr>
        <w:t>得分</w:t>
      </w:r>
      <w:r>
        <w:rPr>
          <w:rFonts w:hint="eastAsia"/>
          <w:highlight w:val="none"/>
          <w:lang w:val="en-US" w:eastAsia="zh-CN"/>
        </w:rPr>
        <w:t>9.07分，</w:t>
      </w:r>
      <w:r>
        <w:rPr>
          <w:rFonts w:hint="eastAsia"/>
          <w:highlight w:val="none"/>
        </w:rPr>
        <w:t>得分率</w:t>
      </w:r>
      <w:r>
        <w:rPr>
          <w:rFonts w:hint="eastAsia"/>
          <w:highlight w:val="none"/>
          <w:lang w:val="en-US" w:eastAsia="zh-CN"/>
        </w:rPr>
        <w:t>75.58</w:t>
      </w:r>
      <w:r>
        <w:rPr>
          <w:rFonts w:hint="eastAsia"/>
          <w:highlight w:val="none"/>
        </w:rPr>
        <w:t>%</w:t>
      </w:r>
      <w:r>
        <w:rPr>
          <w:rFonts w:hint="eastAsia"/>
          <w:lang w:eastAsia="zh-CN"/>
        </w:rPr>
        <w:t>；</w:t>
      </w:r>
      <w:r>
        <w:rPr>
          <w:rFonts w:hint="eastAsia"/>
        </w:rPr>
        <w:t>项目效益指标共设置</w:t>
      </w:r>
      <w:r>
        <w:rPr>
          <w:rFonts w:hint="eastAsia"/>
          <w:lang w:val="en-US" w:eastAsia="zh-CN"/>
        </w:rPr>
        <w:t>3</w:t>
      </w:r>
      <w:r>
        <w:rPr>
          <w:rFonts w:hint="eastAsia"/>
        </w:rPr>
        <w:t>个，满分</w:t>
      </w:r>
      <w:r>
        <w:rPr>
          <w:rFonts w:hint="eastAsia"/>
          <w:lang w:val="en-US" w:eastAsia="zh-CN"/>
        </w:rPr>
        <w:t>24</w:t>
      </w:r>
      <w:r>
        <w:rPr>
          <w:rFonts w:hint="eastAsia"/>
        </w:rPr>
        <w:t>分，</w:t>
      </w:r>
      <w:r>
        <w:rPr>
          <w:rFonts w:hint="eastAsia"/>
          <w:lang w:eastAsia="zh-CN"/>
        </w:rPr>
        <w:t>得分</w:t>
      </w:r>
      <w:r>
        <w:rPr>
          <w:rFonts w:hint="eastAsia"/>
          <w:lang w:val="en-US" w:eastAsia="zh-CN"/>
        </w:rPr>
        <w:t>23.64分，</w:t>
      </w:r>
      <w:r>
        <w:rPr>
          <w:rFonts w:hint="eastAsia"/>
        </w:rPr>
        <w:t>得分率</w:t>
      </w:r>
      <w:r>
        <w:rPr>
          <w:rFonts w:hint="eastAsia"/>
          <w:lang w:val="en-US" w:eastAsia="zh-CN"/>
        </w:rPr>
        <w:t>98.5</w:t>
      </w:r>
      <w:r>
        <w:rPr>
          <w:rFonts w:hint="eastAsia"/>
        </w:rPr>
        <w:t>%。</w:t>
      </w:r>
    </w:p>
    <w:p>
      <w:pPr>
        <w:pStyle w:val="4"/>
        <w:ind w:firstLine="640"/>
        <w:rPr>
          <w:rFonts w:hint="eastAsia"/>
          <w:lang w:eastAsia="zh-CN"/>
        </w:rPr>
      </w:pPr>
      <w:r>
        <w:rPr>
          <w:rFonts w:hint="eastAsia"/>
          <w:lang w:eastAsia="zh-CN"/>
        </w:rPr>
        <w:t>四、绩效评价指标分析</w:t>
      </w:r>
    </w:p>
    <w:p>
      <w:pPr>
        <w:pStyle w:val="5"/>
        <w:ind w:firstLine="643"/>
        <w:rPr>
          <w:rFonts w:ascii="仿宋_GB2312" w:hAnsi="仿宋_GB2312" w:cs="仿宋_GB2312"/>
        </w:rPr>
      </w:pPr>
      <w:bookmarkStart w:id="15" w:name="_Toc68364668"/>
      <w:r>
        <w:rPr>
          <w:rFonts w:hint="eastAsia" w:ascii="仿宋_GB2312" w:hAnsi="仿宋_GB2312" w:cs="仿宋_GB2312"/>
        </w:rPr>
        <w:t>（一）项目决策情况</w:t>
      </w:r>
    </w:p>
    <w:p>
      <w:pPr>
        <w:overflowPunct w:val="0"/>
        <w:ind w:firstLine="560"/>
        <w:contextualSpacing/>
        <w:rPr>
          <w:rFonts w:ascii="仿宋_GB2312" w:hAnsi="仿宋_GB2312" w:cs="仿宋_GB2312"/>
          <w:szCs w:val="28"/>
        </w:rPr>
      </w:pPr>
      <w:r>
        <w:rPr>
          <w:rFonts w:hint="eastAsia" w:ascii="仿宋_GB2312" w:hAnsi="仿宋_GB2312" w:cs="仿宋_GB2312"/>
          <w:szCs w:val="28"/>
        </w:rPr>
        <w:t>项目决策类指标包括项目立项、绩效目标和资金投入三方面的内容，由</w:t>
      </w:r>
      <w:r>
        <w:rPr>
          <w:rFonts w:hint="eastAsia"/>
        </w:rPr>
        <w:t>3个二级指标和6个三级指标构成</w:t>
      </w:r>
      <w:r>
        <w:rPr>
          <w:rFonts w:hint="eastAsia" w:ascii="仿宋_GB2312" w:hAnsi="仿宋_GB2312" w:cs="仿宋_GB2312"/>
          <w:szCs w:val="28"/>
        </w:rPr>
        <w:t>，权重分为20分，实际得分</w:t>
      </w:r>
      <w:r>
        <w:rPr>
          <w:rFonts w:hint="eastAsia" w:ascii="仿宋_GB2312" w:hAnsi="仿宋_GB2312" w:cs="仿宋_GB2312"/>
          <w:szCs w:val="28"/>
          <w:lang w:val="en-US" w:eastAsia="zh-CN"/>
        </w:rPr>
        <w:t>19.5</w:t>
      </w:r>
      <w:r>
        <w:rPr>
          <w:rFonts w:hint="eastAsia" w:ascii="仿宋_GB2312" w:hAnsi="仿宋_GB2312" w:cs="仿宋_GB2312"/>
          <w:szCs w:val="28"/>
        </w:rPr>
        <w:t>分，得分率为</w:t>
      </w:r>
      <w:r>
        <w:rPr>
          <w:rFonts w:hint="eastAsia" w:ascii="仿宋_GB2312" w:hAnsi="仿宋_GB2312" w:cs="仿宋_GB2312"/>
          <w:szCs w:val="28"/>
          <w:lang w:val="en-US" w:eastAsia="zh-CN"/>
        </w:rPr>
        <w:t>97.5</w:t>
      </w:r>
      <w:r>
        <w:rPr>
          <w:rFonts w:hint="eastAsia" w:ascii="仿宋_GB2312" w:hAnsi="仿宋_GB2312" w:cs="仿宋_GB2312"/>
          <w:szCs w:val="28"/>
        </w:rPr>
        <w:t>%。</w:t>
      </w:r>
    </w:p>
    <w:p>
      <w:pPr>
        <w:pStyle w:val="6"/>
        <w:ind w:firstLine="560"/>
      </w:pPr>
      <w:r>
        <w:rPr>
          <w:rFonts w:hint="eastAsia"/>
        </w:rPr>
        <w:t>1.项目立项情况分析</w:t>
      </w:r>
    </w:p>
    <w:p>
      <w:pPr>
        <w:ind w:firstLine="560"/>
        <w:rPr>
          <w:b/>
          <w:bCs/>
        </w:rPr>
      </w:pPr>
      <w:r>
        <w:rPr>
          <w:rFonts w:hint="eastAsia"/>
          <w:b/>
          <w:bCs/>
        </w:rPr>
        <w:t>（1）立项依据充分性：</w:t>
      </w:r>
    </w:p>
    <w:p>
      <w:pPr>
        <w:ind w:firstLine="560"/>
        <w:rPr>
          <w:rFonts w:hint="eastAsia"/>
        </w:rPr>
      </w:pPr>
      <w:r>
        <w:rPr>
          <w:rFonts w:hint="eastAsia"/>
        </w:rPr>
        <w:t>项目立项符合《中华人民共和国城乡规划法》《城市市容和环境卫生管理条例》《城市绿化管理条例》《城市道路管理条例》等国家法律法规</w:t>
      </w:r>
      <w:r>
        <w:rPr>
          <w:rFonts w:hint="eastAsia"/>
          <w:lang w:eastAsia="zh-CN"/>
        </w:rPr>
        <w:t>，符合</w:t>
      </w:r>
      <w:r>
        <w:rPr>
          <w:rFonts w:hint="eastAsia"/>
        </w:rPr>
        <w:t>国民经济发展规划和相关政策；项目立项与我单位开展城市公共设施综合业务工作这一部门职责范围相符，属于部门履职所需；根据《财政资金直接支付申请书》，本项目资金性质为一般公共预算资金，功能分类为</w:t>
      </w:r>
      <w:r>
        <w:rPr>
          <w:rFonts w:hint="eastAsia"/>
          <w:lang w:val="en-US" w:eastAsia="zh-CN"/>
        </w:rPr>
        <w:t>[</w:t>
      </w:r>
      <w:r>
        <w:rPr>
          <w:rFonts w:hint="eastAsia"/>
        </w:rPr>
        <w:t>2120399</w:t>
      </w:r>
      <w:r>
        <w:rPr>
          <w:rFonts w:hint="eastAsia"/>
          <w:lang w:val="en-US" w:eastAsia="zh-CN"/>
        </w:rPr>
        <w:t>]</w:t>
      </w:r>
      <w:r>
        <w:rPr>
          <w:rFonts w:hint="eastAsia"/>
        </w:rPr>
        <w:t>社区其他基本建设支出，经济分类为其他商品和服务支出，根据《中华人民共和国预算法》属于公共财政支持范围，符合中央、地方事权支出责任划分原则；经检查财政项目指标大平台，本项目不存在重复。</w:t>
      </w:r>
    </w:p>
    <w:p>
      <w:pPr>
        <w:ind w:firstLine="560"/>
      </w:pPr>
      <w:r>
        <w:rPr>
          <w:rFonts w:hint="eastAsia"/>
        </w:rPr>
        <w:t>综上</w:t>
      </w:r>
      <w:r>
        <w:rPr>
          <w:rFonts w:hint="eastAsia"/>
          <w:lang w:eastAsia="zh-CN"/>
        </w:rPr>
        <w:t>所述</w:t>
      </w:r>
      <w:r>
        <w:rPr>
          <w:rFonts w:hint="eastAsia"/>
        </w:rPr>
        <w:t>，该指标满分4分，根据评分标准得4分，本项目立项依据充分。</w:t>
      </w:r>
    </w:p>
    <w:p>
      <w:pPr>
        <w:ind w:firstLine="560"/>
        <w:rPr>
          <w:rFonts w:ascii="仿宋_GB2312" w:cs="仿宋_GB2312"/>
          <w:b/>
          <w:bCs/>
          <w:szCs w:val="28"/>
        </w:rPr>
      </w:pPr>
      <w:r>
        <w:rPr>
          <w:rFonts w:hint="eastAsia" w:ascii="仿宋_GB2312" w:cs="仿宋_GB2312"/>
          <w:b/>
          <w:bCs/>
          <w:szCs w:val="28"/>
        </w:rPr>
        <w:t>（2）立项程序规范性：</w:t>
      </w:r>
    </w:p>
    <w:p>
      <w:pPr>
        <w:ind w:firstLine="560"/>
        <w:rPr>
          <w:rFonts w:hint="eastAsia"/>
        </w:rPr>
      </w:pPr>
      <w:r>
        <w:rPr>
          <w:rFonts w:hint="eastAsia"/>
        </w:rPr>
        <w:t>该项目按照规定的立项程序申请设立；事前已经过必要的集体决策；单位按照程序向县财政局提交了城市公共设施综合业务经费项目申请报告、项目资金明细表等相关符合要求的申请材料并通过审批。</w:t>
      </w:r>
    </w:p>
    <w:p>
      <w:pPr>
        <w:ind w:firstLine="560"/>
      </w:pPr>
      <w:r>
        <w:rPr>
          <w:rFonts w:hint="eastAsia"/>
        </w:rPr>
        <w:t>综上</w:t>
      </w:r>
      <w:r>
        <w:rPr>
          <w:rFonts w:hint="eastAsia"/>
          <w:lang w:eastAsia="zh-CN"/>
        </w:rPr>
        <w:t>所述</w:t>
      </w:r>
      <w:r>
        <w:rPr>
          <w:rFonts w:hint="eastAsia"/>
        </w:rPr>
        <w:t>，该指标满分3分，根据评分标准得3分，本项目立项程序合规。</w:t>
      </w:r>
    </w:p>
    <w:p>
      <w:pPr>
        <w:pStyle w:val="6"/>
        <w:ind w:firstLine="560"/>
      </w:pPr>
      <w:r>
        <w:rPr>
          <w:rFonts w:hint="eastAsia"/>
        </w:rPr>
        <w:t>2.绩效目标情况分析</w:t>
      </w:r>
    </w:p>
    <w:p>
      <w:pPr>
        <w:ind w:firstLine="560"/>
        <w:rPr>
          <w:rFonts w:ascii="仿宋_GB2312" w:cs="仿宋_GB2312"/>
          <w:szCs w:val="28"/>
        </w:rPr>
      </w:pPr>
      <w:r>
        <w:rPr>
          <w:rFonts w:hint="eastAsia" w:ascii="仿宋_GB2312" w:cs="仿宋_GB2312"/>
          <w:b/>
          <w:bCs/>
          <w:szCs w:val="28"/>
        </w:rPr>
        <w:t>（1）绩效目标合理性</w:t>
      </w:r>
      <w:r>
        <w:rPr>
          <w:rFonts w:hint="eastAsia" w:ascii="仿宋_GB2312" w:cs="仿宋_GB2312"/>
          <w:szCs w:val="28"/>
        </w:rPr>
        <w:t>：</w:t>
      </w:r>
    </w:p>
    <w:p>
      <w:pPr>
        <w:ind w:firstLine="560"/>
        <w:rPr>
          <w:rFonts w:hint="eastAsia"/>
        </w:rPr>
      </w:pPr>
      <w:r>
        <w:rPr>
          <w:rFonts w:hint="eastAsia"/>
        </w:rPr>
        <w:t>①本项目已设置年度绩效目标，具体内容为：</w:t>
      </w:r>
      <w:r>
        <w:rPr>
          <w:rFonts w:hint="eastAsia"/>
          <w:lang w:val="en-US" w:eastAsia="zh-CN"/>
        </w:rPr>
        <w:t>目标1：2023年保障县城所有道路照明路灯正常照明，开展对市政零星修复工程、路面维修等城市公共基础设施维护，保障全县城市公共设施正常运行；提高城区绿化覆盖率;目标2：2023年单位全年特种作业车辆正常运转，保障环卫、绿化用车油料费用及日常维修维护。</w:t>
      </w:r>
    </w:p>
    <w:p>
      <w:pPr>
        <w:ind w:firstLine="560"/>
      </w:pPr>
      <w:r>
        <w:rPr>
          <w:rFonts w:hint="eastAsia"/>
        </w:rPr>
        <w:t>②本项目绩效目标与实际工作内容具有相关性；</w:t>
      </w:r>
    </w:p>
    <w:p>
      <w:pPr>
        <w:ind w:firstLine="560"/>
      </w:pPr>
      <w:r>
        <w:rPr>
          <w:rFonts w:hint="eastAsia"/>
        </w:rPr>
        <w:t>③本项目按照绩效目标完成了各项产出指标和效益指标，预期产出效益和效果符合正常的业绩水平。</w:t>
      </w:r>
    </w:p>
    <w:p>
      <w:pPr>
        <w:ind w:firstLine="560"/>
      </w:pPr>
      <w:r>
        <w:rPr>
          <w:rFonts w:hint="eastAsia"/>
        </w:rPr>
        <w:t>④</w:t>
      </w:r>
      <w:r>
        <w:t>该项目批复</w:t>
      </w:r>
      <w:r>
        <w:rPr>
          <w:rFonts w:hint="eastAsia"/>
        </w:rPr>
        <w:t>的</w:t>
      </w:r>
      <w:r>
        <w:t>预算金额为</w:t>
      </w:r>
      <w:r>
        <w:rPr>
          <w:rFonts w:hint="eastAsia"/>
          <w:lang w:val="en-US" w:eastAsia="zh-CN"/>
        </w:rPr>
        <w:t>2700</w:t>
      </w:r>
      <w:r>
        <w:t>万元，《财政项目支出绩效目标表</w:t>
      </w:r>
      <w:r>
        <w:rPr>
          <w:rFonts w:hint="eastAsia"/>
        </w:rPr>
        <w:t>》</w:t>
      </w:r>
      <w:r>
        <w:t>中预算金额为</w:t>
      </w:r>
      <w:r>
        <w:rPr>
          <w:rFonts w:hint="eastAsia"/>
          <w:lang w:val="en-US" w:eastAsia="zh-CN"/>
        </w:rPr>
        <w:t>27</w:t>
      </w:r>
      <w:r>
        <w:rPr>
          <w:rFonts w:hint="eastAsia"/>
        </w:rPr>
        <w:t>00</w:t>
      </w:r>
      <w:r>
        <w:t>万元，</w:t>
      </w:r>
      <w:r>
        <w:rPr>
          <w:rFonts w:hint="eastAsia"/>
        </w:rPr>
        <w:t>预算确定的项目资金与预算确定的项目投资额相匹配。</w:t>
      </w:r>
    </w:p>
    <w:p>
      <w:pPr>
        <w:ind w:firstLine="560"/>
      </w:pPr>
      <w:r>
        <w:rPr>
          <w:rFonts w:hint="eastAsia"/>
        </w:rPr>
        <w:t>综上所述，该指标满分4分，根据评分标准得4分，绩效目标设置合理。</w:t>
      </w:r>
    </w:p>
    <w:p>
      <w:pPr>
        <w:ind w:firstLine="560"/>
        <w:rPr>
          <w:rFonts w:ascii="仿宋_GB2312" w:cs="仿宋_GB2312"/>
          <w:b/>
          <w:bCs/>
          <w:szCs w:val="28"/>
        </w:rPr>
      </w:pPr>
      <w:r>
        <w:rPr>
          <w:rFonts w:hint="eastAsia" w:ascii="仿宋_GB2312" w:cs="仿宋_GB2312"/>
          <w:b/>
          <w:bCs/>
          <w:szCs w:val="28"/>
        </w:rPr>
        <w:t>（2）绩效指标明确性：</w:t>
      </w:r>
    </w:p>
    <w:p>
      <w:pPr>
        <w:ind w:firstLine="560"/>
      </w:pPr>
      <w:r>
        <w:rPr>
          <w:rFonts w:hint="eastAsia"/>
        </w:rPr>
        <w:t>经检查，我单位年初设置的《项目支出绩效目标表》：</w:t>
      </w:r>
    </w:p>
    <w:p>
      <w:pPr>
        <w:ind w:firstLine="560"/>
      </w:pPr>
      <w:r>
        <w:rPr>
          <w:rFonts w:hint="eastAsia"/>
        </w:rPr>
        <w:t>①已将项目绩效目标细化分解为</w:t>
      </w:r>
      <w:r>
        <w:rPr>
          <w:rFonts w:hint="eastAsia"/>
          <w:lang w:val="en-US" w:eastAsia="zh-CN"/>
        </w:rPr>
        <w:t>7个二级指标和17个三级指标</w:t>
      </w:r>
      <w:r>
        <w:rPr>
          <w:rFonts w:hint="eastAsia"/>
        </w:rPr>
        <w:t>，指标量化率达</w:t>
      </w:r>
      <w:r>
        <w:rPr>
          <w:rFonts w:hint="eastAsia"/>
          <w:lang w:val="en-US" w:eastAsia="zh-CN"/>
        </w:rPr>
        <w:t>94.12%</w:t>
      </w:r>
      <w:r>
        <w:rPr>
          <w:rFonts w:hint="eastAsia"/>
        </w:rPr>
        <w:t>；</w:t>
      </w:r>
    </w:p>
    <w:p>
      <w:pPr>
        <w:ind w:firstLine="560"/>
      </w:pPr>
      <w:r>
        <w:rPr>
          <w:rFonts w:hint="eastAsia"/>
        </w:rPr>
        <w:t>②根据《项目支出绩效目标表》，我单位各项三级指标通过清晰、可衡量的指标值予以体现；</w:t>
      </w:r>
    </w:p>
    <w:p>
      <w:pPr>
        <w:ind w:firstLine="560"/>
      </w:pPr>
      <w:r>
        <w:rPr>
          <w:rFonts w:hint="eastAsia"/>
        </w:rPr>
        <w:t>③三级指标的年度指标值与年度绩效目标中任务数一致。</w:t>
      </w:r>
    </w:p>
    <w:p>
      <w:pPr>
        <w:ind w:firstLine="560"/>
        <w:rPr>
          <w:rFonts w:ascii="仿宋_GB2312" w:cs="仿宋_GB2312"/>
          <w:szCs w:val="28"/>
        </w:rPr>
      </w:pPr>
      <w:r>
        <w:rPr>
          <w:rFonts w:hint="eastAsia"/>
        </w:rPr>
        <w:t>综上所述，本指标满分为3分，根</w:t>
      </w:r>
      <w:r>
        <w:rPr>
          <w:rFonts w:hint="eastAsia" w:ascii="仿宋_GB2312" w:cs="仿宋_GB2312"/>
          <w:szCs w:val="28"/>
        </w:rPr>
        <w:t>据评分标准得3分，本项目所设置绩效指标明确。</w:t>
      </w:r>
    </w:p>
    <w:p>
      <w:pPr>
        <w:pStyle w:val="6"/>
        <w:ind w:firstLine="560"/>
      </w:pPr>
      <w:r>
        <w:rPr>
          <w:rFonts w:hint="eastAsia"/>
        </w:rPr>
        <w:t>3.资金投入情况分析</w:t>
      </w:r>
    </w:p>
    <w:p>
      <w:pPr>
        <w:ind w:firstLine="560"/>
        <w:rPr>
          <w:rFonts w:ascii="仿宋_GB2312" w:cs="仿宋_GB2312"/>
          <w:szCs w:val="28"/>
        </w:rPr>
      </w:pPr>
      <w:r>
        <w:rPr>
          <w:rFonts w:hint="eastAsia" w:ascii="仿宋_GB2312" w:cs="仿宋_GB2312"/>
          <w:b/>
          <w:bCs/>
          <w:szCs w:val="28"/>
        </w:rPr>
        <w:t>（1）预算编制科学性：</w:t>
      </w:r>
      <w:r>
        <w:rPr>
          <w:rFonts w:hint="eastAsia" w:ascii="仿宋_GB2312" w:cs="仿宋_GB2312"/>
          <w:szCs w:val="28"/>
        </w:rPr>
        <w:t xml:space="preserve"> </w:t>
      </w:r>
    </w:p>
    <w:p>
      <w:pPr>
        <w:ind w:firstLine="560"/>
        <w:rPr>
          <w:rFonts w:ascii="仿宋_GB2312" w:cs="仿宋_GB2312"/>
          <w:szCs w:val="28"/>
        </w:rPr>
      </w:pPr>
      <w:r>
        <w:rPr>
          <w:rFonts w:hint="eastAsia" w:ascii="仿宋_GB2312" w:cs="仿宋_GB2312"/>
          <w:szCs w:val="28"/>
        </w:rPr>
        <w:t>①本项目预算编制通过前期调研和类似项目对比分析，预算编制较科学且经过论证；</w:t>
      </w:r>
    </w:p>
    <w:p>
      <w:pPr>
        <w:ind w:firstLine="560"/>
        <w:rPr>
          <w:rFonts w:ascii="仿宋_GB2312" w:cs="仿宋_GB2312"/>
          <w:szCs w:val="28"/>
        </w:rPr>
      </w:pPr>
      <w:r>
        <w:rPr>
          <w:rFonts w:hint="eastAsia" w:ascii="仿宋_GB2312" w:cs="仿宋_GB2312"/>
          <w:szCs w:val="28"/>
        </w:rPr>
        <w:t>②项目全年预算资金为</w:t>
      </w:r>
      <w:r>
        <w:rPr>
          <w:rFonts w:hint="eastAsia" w:ascii="仿宋_GB2312" w:cs="仿宋_GB2312"/>
          <w:szCs w:val="28"/>
          <w:lang w:val="en-US" w:eastAsia="zh-CN"/>
        </w:rPr>
        <w:t>27</w:t>
      </w:r>
      <w:r>
        <w:rPr>
          <w:rFonts w:hint="eastAsia" w:ascii="仿宋_GB2312" w:cs="仿宋_GB2312"/>
          <w:szCs w:val="28"/>
        </w:rPr>
        <w:t>00万元，主要用于支付</w:t>
      </w:r>
      <w:r>
        <w:rPr>
          <w:rFonts w:hint="eastAsia"/>
        </w:rPr>
        <w:t>城市公共设施综合业务经费项目</w:t>
      </w:r>
      <w:r>
        <w:rPr>
          <w:rFonts w:hint="eastAsia" w:ascii="仿宋_GB2312" w:cs="仿宋_GB2312"/>
          <w:szCs w:val="28"/>
        </w:rPr>
        <w:t>资金，</w:t>
      </w:r>
      <w:r>
        <w:rPr>
          <w:rFonts w:hint="eastAsia"/>
        </w:rPr>
        <w:t>预算内容与项目内容匹配；</w:t>
      </w:r>
    </w:p>
    <w:p>
      <w:pPr>
        <w:ind w:firstLine="560"/>
      </w:pPr>
      <w:r>
        <w:rPr>
          <w:rFonts w:hint="eastAsia" w:ascii="仿宋_GB2312" w:cs="仿宋_GB2312"/>
          <w:szCs w:val="28"/>
        </w:rPr>
        <w:t>③我单位在预算申请中严格按照单位标准和数量进行核算，</w:t>
      </w:r>
      <w:r>
        <w:rPr>
          <w:rFonts w:hint="eastAsia"/>
        </w:rPr>
        <w:t>预算额度测算依据充分，按照标准编制；</w:t>
      </w:r>
    </w:p>
    <w:p>
      <w:pPr>
        <w:ind w:firstLine="560"/>
        <w:rPr>
          <w:rFonts w:hint="eastAsia" w:eastAsia="仿宋_GB2312"/>
          <w:lang w:eastAsia="zh-CN"/>
        </w:rPr>
      </w:pPr>
      <w:r>
        <w:rPr>
          <w:rFonts w:hint="eastAsia"/>
        </w:rPr>
        <w:t>④项目资金主要用于支付车辆运行油料费</w:t>
      </w:r>
      <w:r>
        <w:rPr>
          <w:rFonts w:hint="eastAsia"/>
          <w:lang w:val="en-US" w:eastAsia="zh-CN"/>
        </w:rPr>
        <w:t>110万元，</w:t>
      </w:r>
      <w:r>
        <w:rPr>
          <w:rFonts w:hint="eastAsia"/>
        </w:rPr>
        <w:t>城市照明设施运行电费233.74万元</w:t>
      </w:r>
      <w:r>
        <w:rPr>
          <w:rFonts w:hint="eastAsia"/>
          <w:lang w:eastAsia="zh-CN"/>
        </w:rPr>
        <w:t>，</w:t>
      </w:r>
      <w:r>
        <w:rPr>
          <w:rFonts w:hint="eastAsia"/>
        </w:rPr>
        <w:t>城区绿化补种植</w:t>
      </w:r>
      <w:r>
        <w:rPr>
          <w:rFonts w:hint="eastAsia"/>
          <w:lang w:val="en-US" w:eastAsia="zh-CN"/>
        </w:rPr>
        <w:t>691.91</w:t>
      </w:r>
      <w:r>
        <w:rPr>
          <w:rFonts w:hint="eastAsia"/>
        </w:rPr>
        <w:t>万元</w:t>
      </w:r>
      <w:r>
        <w:rPr>
          <w:rFonts w:hint="eastAsia"/>
          <w:lang w:eastAsia="zh-CN"/>
        </w:rPr>
        <w:t>，</w:t>
      </w:r>
      <w:r>
        <w:rPr>
          <w:rFonts w:hint="eastAsia"/>
        </w:rPr>
        <w:t>部分项目前期费及工程欠款</w:t>
      </w:r>
      <w:r>
        <w:rPr>
          <w:rFonts w:hint="eastAsia"/>
          <w:lang w:eastAsia="zh-CN"/>
        </w:rPr>
        <w:t>支付</w:t>
      </w:r>
      <w:r>
        <w:rPr>
          <w:rFonts w:hint="eastAsia"/>
        </w:rPr>
        <w:t>8</w:t>
      </w:r>
      <w:r>
        <w:rPr>
          <w:rFonts w:hint="eastAsia"/>
          <w:lang w:val="en-US" w:eastAsia="zh-CN"/>
        </w:rPr>
        <w:t>79.7256</w:t>
      </w:r>
      <w:r>
        <w:rPr>
          <w:rFonts w:hint="eastAsia"/>
        </w:rPr>
        <w:t>万元</w:t>
      </w:r>
      <w:r>
        <w:rPr>
          <w:rFonts w:hint="eastAsia"/>
          <w:lang w:eastAsia="zh-CN"/>
        </w:rPr>
        <w:t>，</w:t>
      </w:r>
      <w:r>
        <w:rPr>
          <w:rFonts w:hint="eastAsia"/>
        </w:rPr>
        <w:t>市政工程修复资金</w:t>
      </w:r>
      <w:r>
        <w:rPr>
          <w:rFonts w:hint="eastAsia"/>
          <w:lang w:eastAsia="zh-CN"/>
        </w:rPr>
        <w:t>支付</w:t>
      </w:r>
      <w:r>
        <w:rPr>
          <w:rFonts w:hint="eastAsia"/>
          <w:lang w:val="en-US" w:eastAsia="zh-CN"/>
        </w:rPr>
        <w:t>784.62208</w:t>
      </w:r>
      <w:r>
        <w:rPr>
          <w:rFonts w:hint="eastAsia"/>
        </w:rPr>
        <w:t>万元</w:t>
      </w:r>
      <w:r>
        <w:rPr>
          <w:rFonts w:hint="eastAsia"/>
          <w:lang w:eastAsia="zh-CN"/>
        </w:rPr>
        <w:t>。</w:t>
      </w:r>
    </w:p>
    <w:p>
      <w:pPr>
        <w:ind w:firstLine="560"/>
        <w:rPr>
          <w:rFonts w:ascii="仿宋_GB2312" w:cs="仿宋_GB2312"/>
          <w:szCs w:val="28"/>
        </w:rPr>
      </w:pPr>
      <w:r>
        <w:rPr>
          <w:rFonts w:hint="eastAsia" w:ascii="仿宋_GB2312" w:cs="仿宋_GB2312"/>
          <w:szCs w:val="28"/>
        </w:rPr>
        <w:t>综上所述，本指标满分为4分，根据评分标准得4分，本项目预算编制科学。</w:t>
      </w:r>
    </w:p>
    <w:p>
      <w:pPr>
        <w:ind w:firstLine="560"/>
        <w:rPr>
          <w:rFonts w:ascii="仿宋_GB2312" w:cs="仿宋_GB2312"/>
          <w:b/>
          <w:bCs/>
          <w:szCs w:val="28"/>
        </w:rPr>
      </w:pPr>
      <w:r>
        <w:rPr>
          <w:rFonts w:hint="eastAsia" w:ascii="仿宋_GB2312" w:cs="仿宋_GB2312"/>
          <w:b/>
          <w:bCs/>
          <w:szCs w:val="28"/>
        </w:rPr>
        <w:t>（2）资金分配合理性：</w:t>
      </w:r>
    </w:p>
    <w:p>
      <w:pPr>
        <w:ind w:firstLine="560"/>
        <w:rPr>
          <w:rFonts w:cs="仿宋_GB2312"/>
          <w:szCs w:val="28"/>
        </w:rPr>
      </w:pPr>
      <w:r>
        <w:rPr>
          <w:rFonts w:hint="eastAsia" w:ascii="仿宋_GB2312" w:cs="仿宋_GB2312"/>
          <w:szCs w:val="28"/>
        </w:rPr>
        <w:t>①本项目实际分配资金以托财预</w:t>
      </w:r>
      <w:r>
        <w:rPr>
          <w:rFonts w:hint="eastAsia" w:ascii="仿宋_GB2312" w:cs="仿宋_GB2312"/>
          <w:szCs w:val="28"/>
          <w:lang w:val="en-US" w:eastAsia="zh-CN"/>
        </w:rPr>
        <w:t>[</w:t>
      </w:r>
      <w:r>
        <w:rPr>
          <w:rFonts w:hint="eastAsia" w:ascii="仿宋_GB2312" w:cs="仿宋_GB2312"/>
          <w:szCs w:val="28"/>
        </w:rPr>
        <w:t>202</w:t>
      </w:r>
      <w:r>
        <w:rPr>
          <w:rFonts w:hint="eastAsia" w:ascii="仿宋_GB2312" w:cs="仿宋_GB2312"/>
          <w:szCs w:val="28"/>
          <w:lang w:val="en-US" w:eastAsia="zh-CN"/>
        </w:rPr>
        <w:t>3]</w:t>
      </w:r>
      <w:r>
        <w:rPr>
          <w:rFonts w:hint="eastAsia" w:ascii="仿宋_GB2312" w:cs="仿宋_GB2312"/>
          <w:szCs w:val="28"/>
        </w:rPr>
        <w:t>1号文件为依据进行资金分配，预算资金分配依据充分</w:t>
      </w:r>
      <w:r>
        <w:rPr>
          <w:rFonts w:hint="eastAsia" w:cs="仿宋_GB2312"/>
          <w:szCs w:val="28"/>
        </w:rPr>
        <w:t>。</w:t>
      </w:r>
    </w:p>
    <w:p>
      <w:pPr>
        <w:ind w:firstLine="560"/>
        <w:rPr>
          <w:rFonts w:hint="default" w:eastAsia="仿宋_GB2312"/>
          <w:szCs w:val="28"/>
          <w:lang w:val="en-US" w:eastAsia="zh-CN"/>
        </w:rPr>
      </w:pPr>
      <w:r>
        <w:rPr>
          <w:rFonts w:hint="eastAsia" w:ascii="仿宋_GB2312" w:cs="仿宋_GB2312"/>
          <w:szCs w:val="28"/>
        </w:rPr>
        <w:t>②本项目实际到位资金</w:t>
      </w:r>
      <w:r>
        <w:rPr>
          <w:rFonts w:hint="eastAsia" w:ascii="仿宋_GB2312" w:cs="仿宋_GB2312"/>
          <w:szCs w:val="28"/>
          <w:lang w:val="en-US" w:eastAsia="zh-CN"/>
        </w:rPr>
        <w:t>27</w:t>
      </w:r>
      <w:r>
        <w:rPr>
          <w:rFonts w:hint="eastAsia" w:ascii="仿宋_GB2312" w:cs="仿宋_GB2312"/>
          <w:szCs w:val="28"/>
        </w:rPr>
        <w:t>00万元，</w:t>
      </w:r>
      <w:r>
        <w:rPr>
          <w:rFonts w:hint="eastAsia" w:ascii="仿宋_GB2312" w:cs="仿宋_GB2312"/>
          <w:szCs w:val="28"/>
          <w:lang w:eastAsia="zh-CN"/>
        </w:rPr>
        <w:t>各项工作计划</w:t>
      </w:r>
      <w:r>
        <w:rPr>
          <w:rFonts w:hint="eastAsia"/>
        </w:rPr>
        <w:t>支付车辆运行油料费</w:t>
      </w:r>
      <w:r>
        <w:rPr>
          <w:rFonts w:hint="eastAsia"/>
          <w:lang w:val="en-US" w:eastAsia="zh-CN"/>
        </w:rPr>
        <w:t>120万元，</w:t>
      </w:r>
      <w:r>
        <w:rPr>
          <w:rFonts w:hint="eastAsia"/>
        </w:rPr>
        <w:t>城市照明设施运行电费</w:t>
      </w:r>
      <w:r>
        <w:rPr>
          <w:rFonts w:hint="eastAsia"/>
          <w:lang w:val="en-US" w:eastAsia="zh-CN"/>
        </w:rPr>
        <w:t>300</w:t>
      </w:r>
      <w:r>
        <w:rPr>
          <w:rFonts w:hint="eastAsia"/>
        </w:rPr>
        <w:t>万元</w:t>
      </w:r>
      <w:r>
        <w:rPr>
          <w:rFonts w:hint="eastAsia"/>
          <w:lang w:eastAsia="zh-CN"/>
        </w:rPr>
        <w:t>，</w:t>
      </w:r>
      <w:r>
        <w:rPr>
          <w:rFonts w:hint="eastAsia"/>
        </w:rPr>
        <w:t>城区绿化补种植</w:t>
      </w:r>
      <w:r>
        <w:rPr>
          <w:rFonts w:hint="eastAsia"/>
          <w:lang w:val="en-US" w:eastAsia="zh-CN"/>
        </w:rPr>
        <w:t>700</w:t>
      </w:r>
      <w:r>
        <w:rPr>
          <w:rFonts w:hint="eastAsia"/>
        </w:rPr>
        <w:t>万元</w:t>
      </w:r>
      <w:r>
        <w:rPr>
          <w:rFonts w:hint="eastAsia"/>
          <w:lang w:eastAsia="zh-CN"/>
        </w:rPr>
        <w:t>，</w:t>
      </w:r>
      <w:r>
        <w:rPr>
          <w:rFonts w:hint="eastAsia"/>
        </w:rPr>
        <w:t>部分项目前期费及工程欠款</w:t>
      </w:r>
      <w:r>
        <w:rPr>
          <w:rFonts w:hint="eastAsia"/>
          <w:lang w:eastAsia="zh-CN"/>
        </w:rPr>
        <w:t>支付</w:t>
      </w:r>
      <w:r>
        <w:rPr>
          <w:rFonts w:hint="eastAsia"/>
        </w:rPr>
        <w:t>8</w:t>
      </w:r>
      <w:r>
        <w:rPr>
          <w:rFonts w:hint="eastAsia"/>
          <w:lang w:val="en-US" w:eastAsia="zh-CN"/>
        </w:rPr>
        <w:t>80</w:t>
      </w:r>
      <w:r>
        <w:rPr>
          <w:rFonts w:hint="eastAsia"/>
        </w:rPr>
        <w:t>万元</w:t>
      </w:r>
      <w:r>
        <w:rPr>
          <w:rFonts w:hint="eastAsia"/>
          <w:lang w:eastAsia="zh-CN"/>
        </w:rPr>
        <w:t>，</w:t>
      </w:r>
      <w:r>
        <w:rPr>
          <w:rFonts w:hint="eastAsia"/>
        </w:rPr>
        <w:t>市政工程修复资金</w:t>
      </w:r>
      <w:r>
        <w:rPr>
          <w:rFonts w:hint="eastAsia"/>
          <w:lang w:eastAsia="zh-CN"/>
        </w:rPr>
        <w:t>支付</w:t>
      </w:r>
      <w:r>
        <w:rPr>
          <w:rFonts w:hint="eastAsia"/>
          <w:lang w:val="en-US" w:eastAsia="zh-CN"/>
        </w:rPr>
        <w:t>700</w:t>
      </w:r>
      <w:r>
        <w:rPr>
          <w:rFonts w:hint="eastAsia"/>
        </w:rPr>
        <w:t>万元</w:t>
      </w:r>
      <w:r>
        <w:rPr>
          <w:rFonts w:hint="eastAsia"/>
          <w:lang w:eastAsia="zh-CN"/>
        </w:rPr>
        <w:t>；</w:t>
      </w:r>
      <w:r>
        <w:rPr>
          <w:rFonts w:hint="eastAsia" w:ascii="仿宋_GB2312" w:cs="仿宋_GB2312"/>
          <w:szCs w:val="28"/>
        </w:rPr>
        <w:t>实际</w:t>
      </w:r>
      <w:r>
        <w:rPr>
          <w:rFonts w:hint="eastAsia" w:ascii="仿宋_GB2312" w:cs="仿宋_GB2312"/>
          <w:szCs w:val="28"/>
          <w:lang w:eastAsia="zh-CN"/>
        </w:rPr>
        <w:t>支付时，车辆油料费和城市照明设施运行电费分配资金较多，资金未使用完毕；</w:t>
      </w:r>
      <w:r>
        <w:rPr>
          <w:rFonts w:hint="eastAsia"/>
        </w:rPr>
        <w:t>市政工程修复资金</w:t>
      </w:r>
      <w:r>
        <w:rPr>
          <w:rFonts w:hint="eastAsia"/>
          <w:lang w:eastAsia="zh-CN"/>
        </w:rPr>
        <w:t>分配较少，实际支出超出目标值</w:t>
      </w:r>
      <w:r>
        <w:rPr>
          <w:rFonts w:hint="eastAsia" w:cs="仿宋_GB2312"/>
          <w:szCs w:val="28"/>
        </w:rPr>
        <w:t>。</w:t>
      </w:r>
      <w:r>
        <w:rPr>
          <w:rFonts w:hint="eastAsia" w:cs="仿宋_GB2312"/>
          <w:szCs w:val="28"/>
          <w:lang w:eastAsia="zh-CN"/>
        </w:rPr>
        <w:t>本项目资金分配额度不够合理，与项目单位实际支出部分不适应，根据评分要点，本指标扣</w:t>
      </w:r>
      <w:r>
        <w:rPr>
          <w:rFonts w:hint="eastAsia" w:cs="仿宋_GB2312"/>
          <w:szCs w:val="28"/>
          <w:lang w:val="en-US" w:eastAsia="zh-CN"/>
        </w:rPr>
        <w:t>0.5分。改进措施：</w:t>
      </w:r>
      <w:r>
        <w:rPr>
          <w:rFonts w:hint="eastAsia" w:ascii="仿宋_GB2312" w:hAnsi="仿宋_GB2312" w:cs="仿宋_GB2312"/>
          <w:szCs w:val="28"/>
          <w:lang w:val="en-US" w:eastAsia="zh-CN"/>
        </w:rPr>
        <w:t>根据上年度支付情况以及当年的工作任务做好资金分配测算，由项目负责人审核确认，提高</w:t>
      </w:r>
      <w:r>
        <w:rPr>
          <w:rFonts w:hint="eastAsia" w:ascii="仿宋_GB2312" w:hAnsi="仿宋_GB2312" w:cs="仿宋_GB2312"/>
          <w:szCs w:val="28"/>
          <w:lang w:eastAsia="zh-CN"/>
        </w:rPr>
        <w:t>资金</w:t>
      </w:r>
      <w:r>
        <w:rPr>
          <w:rFonts w:hint="eastAsia" w:ascii="仿宋_GB2312" w:hAnsi="仿宋_GB2312" w:cs="仿宋_GB2312"/>
          <w:szCs w:val="28"/>
          <w:lang w:val="en-US" w:eastAsia="zh-CN"/>
        </w:rPr>
        <w:t>分配的合理性。</w:t>
      </w:r>
    </w:p>
    <w:p>
      <w:pPr>
        <w:ind w:firstLine="560"/>
        <w:rPr>
          <w:rFonts w:ascii="仿宋_GB2312" w:cs="仿宋_GB2312"/>
          <w:szCs w:val="28"/>
        </w:rPr>
      </w:pPr>
      <w:r>
        <w:rPr>
          <w:rFonts w:hint="eastAsia" w:ascii="仿宋_GB2312" w:cs="仿宋_GB2312"/>
          <w:szCs w:val="28"/>
        </w:rPr>
        <w:t>综上所述，本指标满分为2分，根据评分标准得</w:t>
      </w:r>
      <w:r>
        <w:rPr>
          <w:rFonts w:hint="eastAsia" w:ascii="仿宋_GB2312" w:cs="仿宋_GB2312"/>
          <w:szCs w:val="28"/>
          <w:lang w:val="en-US" w:eastAsia="zh-CN"/>
        </w:rPr>
        <w:t>1.5</w:t>
      </w:r>
      <w:r>
        <w:rPr>
          <w:rFonts w:hint="eastAsia" w:ascii="仿宋_GB2312" w:cs="仿宋_GB2312"/>
          <w:szCs w:val="28"/>
        </w:rPr>
        <w:t>分，本项目资金分配</w:t>
      </w:r>
      <w:r>
        <w:rPr>
          <w:rFonts w:hint="eastAsia" w:ascii="仿宋_GB2312" w:cs="仿宋_GB2312"/>
          <w:szCs w:val="28"/>
          <w:lang w:eastAsia="zh-CN"/>
        </w:rPr>
        <w:t>不够</w:t>
      </w:r>
      <w:r>
        <w:rPr>
          <w:rFonts w:hint="eastAsia" w:ascii="仿宋_GB2312" w:cs="仿宋_GB2312"/>
          <w:szCs w:val="28"/>
        </w:rPr>
        <w:t>合理。</w:t>
      </w:r>
    </w:p>
    <w:p>
      <w:pPr>
        <w:pStyle w:val="5"/>
        <w:ind w:firstLine="643"/>
        <w:rPr>
          <w:rFonts w:ascii="仿宋_GB2312" w:hAnsi="仿宋_GB2312" w:cs="仿宋_GB2312"/>
        </w:rPr>
      </w:pPr>
      <w:r>
        <w:rPr>
          <w:rFonts w:hint="eastAsia" w:ascii="仿宋_GB2312" w:hAnsi="仿宋_GB2312" w:cs="仿宋_GB2312"/>
        </w:rPr>
        <w:t>（二）项目过程情况</w:t>
      </w:r>
    </w:p>
    <w:p>
      <w:pPr>
        <w:ind w:firstLine="560"/>
        <w:rPr>
          <w:rFonts w:ascii="仿宋_GB2312" w:cs="仿宋_GB2312"/>
          <w:szCs w:val="28"/>
        </w:rPr>
      </w:pPr>
      <w:r>
        <w:rPr>
          <w:rFonts w:hint="eastAsia" w:ascii="仿宋_GB2312" w:cs="仿宋_GB2312"/>
          <w:szCs w:val="28"/>
        </w:rPr>
        <w:t>项目过程类指标包括资金管理和组织实施两方面的内容，由</w:t>
      </w:r>
      <w:r>
        <w:rPr>
          <w:rFonts w:hint="eastAsia"/>
        </w:rPr>
        <w:t>2个二级指标和5个三级指标构成</w:t>
      </w:r>
      <w:r>
        <w:rPr>
          <w:rFonts w:hint="eastAsia" w:ascii="仿宋_GB2312" w:cs="仿宋_GB2312"/>
          <w:szCs w:val="28"/>
        </w:rPr>
        <w:t>，权重分为20分，实际得分20分，得分率为100%。</w:t>
      </w:r>
    </w:p>
    <w:p>
      <w:pPr>
        <w:pStyle w:val="6"/>
        <w:ind w:firstLine="560"/>
      </w:pPr>
      <w:r>
        <w:rPr>
          <w:rFonts w:hint="eastAsia"/>
        </w:rPr>
        <w:t>1.资金管理情况分析</w:t>
      </w:r>
    </w:p>
    <w:p>
      <w:pPr>
        <w:ind w:firstLine="560"/>
        <w:rPr>
          <w:b/>
          <w:bCs/>
        </w:rPr>
      </w:pPr>
      <w:r>
        <w:rPr>
          <w:rFonts w:hint="eastAsia"/>
          <w:b/>
          <w:bCs/>
        </w:rPr>
        <w:t>（1）资金到位率：</w:t>
      </w:r>
    </w:p>
    <w:p>
      <w:pPr>
        <w:ind w:firstLine="560"/>
      </w:pPr>
      <w:r>
        <w:rPr>
          <w:rFonts w:hint="eastAsia"/>
        </w:rPr>
        <w:t>本项目全年预算资金为</w:t>
      </w:r>
      <w:r>
        <w:rPr>
          <w:rFonts w:hint="eastAsia"/>
          <w:lang w:val="en-US" w:eastAsia="zh-CN"/>
        </w:rPr>
        <w:t>27</w:t>
      </w:r>
      <w:r>
        <w:rPr>
          <w:rFonts w:hint="eastAsia"/>
        </w:rPr>
        <w:t>00万元，实际到位资金</w:t>
      </w:r>
      <w:r>
        <w:rPr>
          <w:rFonts w:hint="eastAsia"/>
          <w:lang w:val="en-US" w:eastAsia="zh-CN"/>
        </w:rPr>
        <w:t>27</w:t>
      </w:r>
      <w:r>
        <w:rPr>
          <w:rFonts w:hint="eastAsia"/>
        </w:rPr>
        <w:t>00万元，资金到位率=（实际到位资金/预算资金）×100%=100%。</w:t>
      </w:r>
    </w:p>
    <w:p>
      <w:pPr>
        <w:ind w:firstLine="560"/>
      </w:pPr>
      <w:r>
        <w:rPr>
          <w:rFonts w:hint="eastAsia"/>
        </w:rPr>
        <w:t>综上所述，本指标满分为4分，根据评分标准得4分,本项目资金到位率为100%。</w:t>
      </w:r>
    </w:p>
    <w:p>
      <w:pPr>
        <w:ind w:firstLine="560"/>
        <w:rPr>
          <w:rFonts w:ascii="仿宋_GB2312" w:cs="仿宋_GB2312"/>
          <w:b/>
          <w:bCs/>
          <w:szCs w:val="28"/>
        </w:rPr>
      </w:pPr>
      <w:r>
        <w:rPr>
          <w:rFonts w:hint="eastAsia" w:ascii="仿宋_GB2312" w:cs="仿宋_GB2312"/>
          <w:b/>
          <w:bCs/>
          <w:szCs w:val="28"/>
        </w:rPr>
        <w:t>（2）预算执行率：</w:t>
      </w:r>
    </w:p>
    <w:p>
      <w:pPr>
        <w:ind w:firstLine="560"/>
        <w:rPr>
          <w:rFonts w:ascii="仿宋_GB2312" w:cs="仿宋_GB2312"/>
          <w:szCs w:val="28"/>
        </w:rPr>
      </w:pPr>
      <w:r>
        <w:rPr>
          <w:rFonts w:hint="eastAsia" w:ascii="仿宋_GB2312" w:cs="仿宋_GB2312"/>
          <w:szCs w:val="28"/>
        </w:rPr>
        <w:t>本项目到位资金为</w:t>
      </w:r>
      <w:r>
        <w:rPr>
          <w:rFonts w:hint="eastAsia" w:ascii="仿宋_GB2312" w:cs="仿宋_GB2312"/>
          <w:szCs w:val="28"/>
          <w:lang w:val="en-US" w:eastAsia="zh-CN"/>
        </w:rPr>
        <w:t>27</w:t>
      </w:r>
      <w:r>
        <w:rPr>
          <w:rFonts w:hint="eastAsia" w:ascii="仿宋_GB2312" w:cs="仿宋_GB2312"/>
          <w:szCs w:val="28"/>
        </w:rPr>
        <w:t>00万元，实际支出资金</w:t>
      </w:r>
      <w:r>
        <w:rPr>
          <w:rFonts w:hint="eastAsia" w:ascii="仿宋_GB2312" w:cs="仿宋_GB2312"/>
          <w:szCs w:val="28"/>
          <w:lang w:val="en-US" w:eastAsia="zh-CN"/>
        </w:rPr>
        <w:t>27</w:t>
      </w:r>
      <w:r>
        <w:rPr>
          <w:rFonts w:hint="eastAsia" w:ascii="仿宋_GB2312" w:cs="仿宋_GB2312"/>
          <w:szCs w:val="28"/>
        </w:rPr>
        <w:t>00万元，预算执行率=（实际支出资金/实际到位资金）×100%=（</w:t>
      </w:r>
      <w:r>
        <w:rPr>
          <w:rFonts w:hint="eastAsia" w:ascii="仿宋_GB2312" w:cs="仿宋_GB2312"/>
          <w:szCs w:val="28"/>
          <w:lang w:val="en-US" w:eastAsia="zh-CN"/>
        </w:rPr>
        <w:t>2700</w:t>
      </w:r>
      <w:r>
        <w:rPr>
          <w:rFonts w:hint="eastAsia" w:ascii="仿宋_GB2312" w:cs="仿宋_GB2312"/>
          <w:szCs w:val="28"/>
        </w:rPr>
        <w:t>/</w:t>
      </w:r>
      <w:r>
        <w:rPr>
          <w:rFonts w:hint="eastAsia" w:ascii="仿宋_GB2312" w:cs="仿宋_GB2312"/>
          <w:szCs w:val="28"/>
          <w:lang w:val="en-US" w:eastAsia="zh-CN"/>
        </w:rPr>
        <w:t>2700</w:t>
      </w:r>
      <w:r>
        <w:rPr>
          <w:rFonts w:hint="eastAsia" w:ascii="仿宋_GB2312" w:cs="仿宋_GB2312"/>
          <w:szCs w:val="28"/>
        </w:rPr>
        <w:t>）×100%=100%。</w:t>
      </w:r>
    </w:p>
    <w:p>
      <w:pPr>
        <w:ind w:firstLine="560"/>
        <w:rPr>
          <w:rFonts w:hint="eastAsia" w:eastAsia="仿宋_GB2312"/>
          <w:szCs w:val="28"/>
          <w:lang w:eastAsia="zh-CN"/>
        </w:rPr>
      </w:pPr>
      <w:r>
        <w:rPr>
          <w:rFonts w:hint="eastAsia" w:ascii="仿宋_GB2312" w:cs="仿宋_GB2312"/>
          <w:szCs w:val="28"/>
        </w:rPr>
        <w:t>综上所述，本指标满分为4分，根据评分标准得4分,本项目预算执行率为100%</w:t>
      </w:r>
      <w:r>
        <w:rPr>
          <w:rFonts w:hint="eastAsia" w:ascii="仿宋_GB2312" w:cs="仿宋_GB2312"/>
          <w:szCs w:val="28"/>
          <w:lang w:eastAsia="zh-CN"/>
        </w:rPr>
        <w:t>。</w:t>
      </w:r>
    </w:p>
    <w:p>
      <w:pPr>
        <w:ind w:firstLine="560"/>
        <w:rPr>
          <w:rFonts w:ascii="仿宋_GB2312" w:cs="仿宋_GB2312"/>
          <w:b/>
          <w:bCs/>
          <w:szCs w:val="28"/>
        </w:rPr>
      </w:pPr>
      <w:r>
        <w:rPr>
          <w:rFonts w:hint="eastAsia" w:ascii="仿宋_GB2312" w:cs="仿宋_GB2312"/>
          <w:b/>
          <w:bCs/>
          <w:szCs w:val="28"/>
        </w:rPr>
        <w:t>（3）资金使用合规性：</w:t>
      </w:r>
    </w:p>
    <w:p>
      <w:pPr>
        <w:ind w:firstLine="560"/>
      </w:pPr>
      <w:r>
        <w:rPr>
          <w:rFonts w:hint="eastAsia"/>
        </w:rPr>
        <w:t>经检查，本项目合同、财务支出凭证等资料，本项目资金使用符合国家财经法规、《政府会计制度》以及《托克逊县住房和城乡建设局单位资金管理办法》，资金的拨付有完整的审批程序和手续，资金实际使用方向与预算批复用途一致，不存在截留、挤占、挪用、虚列支出的情况。</w:t>
      </w:r>
    </w:p>
    <w:p>
      <w:pPr>
        <w:ind w:firstLine="560"/>
      </w:pPr>
      <w:r>
        <w:rPr>
          <w:rFonts w:hint="eastAsia"/>
        </w:rPr>
        <w:t>综上所述，本指标满分为4分，根据评分标准得4分,本项目资金使用合规。</w:t>
      </w:r>
    </w:p>
    <w:p>
      <w:pPr>
        <w:pStyle w:val="6"/>
        <w:ind w:firstLine="560"/>
      </w:pPr>
      <w:r>
        <w:rPr>
          <w:rFonts w:hint="eastAsia"/>
        </w:rPr>
        <w:t>2.组织实施情况分析</w:t>
      </w:r>
    </w:p>
    <w:p>
      <w:pPr>
        <w:ind w:firstLine="560"/>
        <w:rPr>
          <w:rFonts w:ascii="仿宋_GB2312" w:cs="仿宋_GB2312"/>
          <w:b/>
          <w:bCs/>
          <w:szCs w:val="28"/>
        </w:rPr>
      </w:pPr>
      <w:r>
        <w:rPr>
          <w:rFonts w:hint="eastAsia" w:ascii="仿宋_GB2312" w:cs="仿宋_GB2312"/>
          <w:szCs w:val="28"/>
        </w:rPr>
        <w:t>（</w:t>
      </w:r>
      <w:r>
        <w:rPr>
          <w:rFonts w:hint="eastAsia" w:ascii="仿宋_GB2312" w:cs="仿宋_GB2312"/>
          <w:b/>
          <w:bCs/>
          <w:szCs w:val="28"/>
        </w:rPr>
        <w:t>4）管理制度健全性：</w:t>
      </w:r>
    </w:p>
    <w:p>
      <w:pPr>
        <w:ind w:firstLine="560"/>
      </w:pPr>
      <w:r>
        <w:rPr>
          <w:rFonts w:hint="eastAsia"/>
        </w:rPr>
        <w:t>我单位已制定《考核管理办法》《财务管理制度》《政府采购业务管理制度》《项目合同管理制度》等，上述已建立的制度均符合行政事业单位内控管理要求，财务和业务管理制度合法、合规、完整，本项目执行符合上述制度规定。</w:t>
      </w:r>
    </w:p>
    <w:p>
      <w:pPr>
        <w:ind w:firstLine="560"/>
      </w:pPr>
      <w:r>
        <w:rPr>
          <w:rFonts w:hint="eastAsia"/>
        </w:rPr>
        <w:t>综上所述，本指标满分为4分，根据评分标准得4分,本项目管理制度健全。</w:t>
      </w:r>
    </w:p>
    <w:p>
      <w:pPr>
        <w:ind w:firstLine="560"/>
        <w:rPr>
          <w:rFonts w:ascii="仿宋_GB2312" w:cs="仿宋_GB2312"/>
          <w:szCs w:val="28"/>
        </w:rPr>
      </w:pPr>
      <w:r>
        <w:rPr>
          <w:rFonts w:hint="eastAsia" w:ascii="仿宋_GB2312" w:cs="仿宋_GB2312"/>
          <w:b/>
          <w:bCs/>
          <w:szCs w:val="28"/>
        </w:rPr>
        <w:t>（5）制度执行有效性</w:t>
      </w:r>
      <w:r>
        <w:rPr>
          <w:rFonts w:hint="eastAsia" w:ascii="仿宋_GB2312" w:cs="仿宋_GB2312"/>
          <w:szCs w:val="28"/>
        </w:rPr>
        <w:t>：</w:t>
      </w:r>
    </w:p>
    <w:p>
      <w:pPr>
        <w:ind w:firstLine="560"/>
      </w:pPr>
      <w:r>
        <w:rPr>
          <w:rFonts w:hint="eastAsia"/>
        </w:rPr>
        <w:t>①该项目的实施符合《考核管理办法》《财务管理制度》《政府采购业务管理制度》《项目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pPr>
        <w:ind w:firstLine="560"/>
      </w:pPr>
      <w:r>
        <w:rPr>
          <w:rFonts w:hint="eastAsia"/>
        </w:rPr>
        <w:t>②经现场查证项目合同书、验收评审表、财务支付凭证等资料齐全并及时归档。</w:t>
      </w:r>
    </w:p>
    <w:p>
      <w:pPr>
        <w:ind w:firstLine="560"/>
      </w:pPr>
      <w:r>
        <w:rPr>
          <w:rFonts w:hint="eastAsia"/>
        </w:rPr>
        <w:t>③本项目不存在调整。</w:t>
      </w:r>
    </w:p>
    <w:p>
      <w:pPr>
        <w:ind w:firstLine="560"/>
      </w:pPr>
      <w:r>
        <w:rPr>
          <w:rFonts w:hint="eastAsia"/>
        </w:rPr>
        <w:t>④本项目实施所需要的项目人员和场地设备均已落实到位，具体涉及内容包括：为确保项目的顺利实施我单位有明确的岗位职责分工，人员均已配备到位，项目实施过程中所需的各项配套也已具备。</w:t>
      </w:r>
    </w:p>
    <w:p>
      <w:pPr>
        <w:ind w:firstLine="560"/>
      </w:pPr>
      <w:r>
        <w:rPr>
          <w:rFonts w:hint="eastAsia"/>
        </w:rPr>
        <w:t>综上所述，</w:t>
      </w:r>
      <w:r>
        <w:rPr>
          <w:rFonts w:hint="eastAsia" w:ascii="仿宋_GB2312" w:cs="仿宋_GB2312"/>
          <w:szCs w:val="28"/>
        </w:rPr>
        <w:t>本指标满分为4分，根据评分标准得4分,本项目制度执行有效。</w:t>
      </w:r>
    </w:p>
    <w:p>
      <w:pPr>
        <w:pStyle w:val="6"/>
        <w:ind w:firstLine="640"/>
        <w:rPr>
          <w:rFonts w:cs="仿宋_GB2312"/>
          <w:sz w:val="32"/>
        </w:rPr>
      </w:pPr>
      <w:r>
        <w:rPr>
          <w:rFonts w:hint="eastAsia" w:cs="仿宋_GB2312"/>
          <w:sz w:val="32"/>
        </w:rPr>
        <w:t>（三）项目产出情况</w:t>
      </w:r>
    </w:p>
    <w:p>
      <w:pPr>
        <w:ind w:firstLine="560"/>
        <w:rPr>
          <w:rFonts w:ascii="仿宋_GB2312" w:cs="仿宋_GB2312"/>
          <w:szCs w:val="28"/>
        </w:rPr>
      </w:pPr>
      <w:r>
        <w:rPr>
          <w:rFonts w:hint="eastAsia" w:ascii="仿宋_GB2312" w:cs="仿宋_GB2312"/>
          <w:szCs w:val="28"/>
        </w:rPr>
        <w:t>项目产出类指标包括产出数量、产出质量、产出时效</w:t>
      </w:r>
      <w:r>
        <w:rPr>
          <w:rFonts w:hint="eastAsia" w:ascii="仿宋_GB2312" w:cs="仿宋_GB2312"/>
          <w:szCs w:val="28"/>
          <w:lang w:eastAsia="zh-CN"/>
        </w:rPr>
        <w:t>三</w:t>
      </w:r>
      <w:r>
        <w:rPr>
          <w:rFonts w:hint="eastAsia" w:ascii="仿宋_GB2312" w:cs="仿宋_GB2312"/>
          <w:szCs w:val="28"/>
        </w:rPr>
        <w:t>方面的内容，权重分为</w:t>
      </w:r>
      <w:r>
        <w:rPr>
          <w:rFonts w:hint="eastAsia" w:ascii="仿宋_GB2312" w:cs="仿宋_GB2312"/>
          <w:szCs w:val="28"/>
          <w:lang w:val="en-US" w:eastAsia="zh-CN"/>
        </w:rPr>
        <w:t>24</w:t>
      </w:r>
      <w:r>
        <w:rPr>
          <w:rFonts w:hint="eastAsia" w:ascii="仿宋_GB2312" w:cs="仿宋_GB2312"/>
          <w:szCs w:val="28"/>
        </w:rPr>
        <w:t>分，实际得分</w:t>
      </w:r>
      <w:r>
        <w:rPr>
          <w:rFonts w:hint="eastAsia" w:ascii="仿宋_GB2312" w:cs="仿宋_GB2312"/>
          <w:szCs w:val="28"/>
          <w:lang w:val="en-US" w:eastAsia="zh-CN"/>
        </w:rPr>
        <w:t>24</w:t>
      </w:r>
      <w:r>
        <w:rPr>
          <w:rFonts w:hint="eastAsia" w:ascii="仿宋_GB2312" w:cs="仿宋_GB2312"/>
          <w:szCs w:val="28"/>
        </w:rPr>
        <w:t>分，得分率为100%。</w:t>
      </w:r>
    </w:p>
    <w:p>
      <w:pPr>
        <w:numPr>
          <w:ilvl w:val="0"/>
          <w:numId w:val="4"/>
        </w:numPr>
        <w:ind w:firstLine="560"/>
        <w:rPr>
          <w:rFonts w:hint="eastAsia" w:ascii="仿宋_GB2312" w:hAnsi="仿宋_GB2312" w:cs="仿宋_GB2312"/>
          <w:szCs w:val="28"/>
        </w:rPr>
      </w:pPr>
      <w:r>
        <w:rPr>
          <w:rFonts w:hint="eastAsia"/>
        </w:rPr>
        <w:t>数量指标完成情况分析</w:t>
      </w:r>
      <w:r>
        <w:rPr>
          <w:rFonts w:hint="eastAsia" w:ascii="仿宋_GB2312" w:hAnsi="仿宋_GB2312" w:cs="仿宋_GB2312"/>
          <w:szCs w:val="28"/>
        </w:rPr>
        <w:t xml:space="preserve"> </w:t>
      </w:r>
    </w:p>
    <w:p>
      <w:pPr>
        <w:numPr>
          <w:ilvl w:val="0"/>
          <w:numId w:val="0"/>
        </w:numPr>
        <w:ind w:firstLine="560" w:firstLineChars="200"/>
      </w:pPr>
      <w:r>
        <w:rPr>
          <w:rFonts w:hint="eastAsia" w:ascii="仿宋_GB2312" w:hAnsi="仿宋_GB2312" w:cs="仿宋_GB2312"/>
          <w:szCs w:val="28"/>
        </w:rPr>
        <w:t>“</w:t>
      </w:r>
      <w:r>
        <w:rPr>
          <w:rFonts w:hint="eastAsia"/>
        </w:rPr>
        <w:t>保障运行车辆数</w:t>
      </w:r>
      <w:r>
        <w:rPr>
          <w:rFonts w:hint="eastAsia" w:ascii="仿宋_GB2312" w:hAnsi="仿宋_GB2312" w:cs="仿宋_GB2312"/>
          <w:szCs w:val="28"/>
        </w:rPr>
        <w:t>”指标：</w:t>
      </w:r>
      <w:r>
        <w:rPr>
          <w:rFonts w:hint="eastAsia"/>
        </w:rPr>
        <w:t>预期指标值为</w:t>
      </w:r>
      <w:r>
        <w:rPr>
          <w:rFonts w:hint="eastAsia"/>
          <w:lang w:eastAsia="zh-CN"/>
        </w:rPr>
        <w:t>大于等于</w:t>
      </w:r>
      <w:r>
        <w:rPr>
          <w:rFonts w:hint="eastAsia"/>
          <w:lang w:val="en-US" w:eastAsia="zh-CN"/>
        </w:rPr>
        <w:t>50</w:t>
      </w:r>
      <w:r>
        <w:rPr>
          <w:rFonts w:hint="eastAsia"/>
          <w:lang w:eastAsia="zh-CN"/>
        </w:rPr>
        <w:t>辆</w:t>
      </w:r>
      <w:r>
        <w:rPr>
          <w:rFonts w:hint="eastAsia" w:ascii="仿宋_GB2312" w:hAnsi="仿宋_GB2312" w:cs="仿宋_GB2312"/>
          <w:szCs w:val="28"/>
        </w:rPr>
        <w:t>，实际完成指标值为</w:t>
      </w:r>
      <w:r>
        <w:rPr>
          <w:rFonts w:hint="eastAsia" w:ascii="仿宋_GB2312" w:hAnsi="仿宋_GB2312" w:cs="仿宋_GB2312"/>
          <w:szCs w:val="28"/>
          <w:lang w:val="en-US" w:eastAsia="zh-CN"/>
        </w:rPr>
        <w:t>56辆</w:t>
      </w:r>
      <w:r>
        <w:rPr>
          <w:rFonts w:hint="eastAsia" w:ascii="仿宋_GB2312" w:hAnsi="仿宋_GB2312" w:cs="仿宋_GB2312"/>
          <w:szCs w:val="28"/>
        </w:rPr>
        <w:t>，指标完成率为100%。</w:t>
      </w:r>
      <w:r>
        <w:rPr>
          <w:rFonts w:hint="eastAsia" w:ascii="仿宋_GB2312" w:cs="仿宋_GB2312"/>
          <w:szCs w:val="28"/>
        </w:rPr>
        <w:t>本指标满分为</w:t>
      </w:r>
      <w:r>
        <w:rPr>
          <w:rFonts w:hint="eastAsia" w:ascii="仿宋_GB2312" w:cs="仿宋_GB2312"/>
          <w:szCs w:val="28"/>
          <w:lang w:val="en-US" w:eastAsia="zh-CN"/>
        </w:rPr>
        <w:t>3</w:t>
      </w:r>
      <w:r>
        <w:rPr>
          <w:rFonts w:hint="eastAsia" w:ascii="仿宋_GB2312" w:cs="仿宋_GB2312"/>
          <w:szCs w:val="28"/>
        </w:rPr>
        <w:t>分，</w:t>
      </w:r>
      <w:r>
        <w:rPr>
          <w:rFonts w:hint="eastAsia" w:ascii="仿宋_GB2312" w:hAnsi="仿宋_GB2312" w:cs="仿宋_GB2312"/>
          <w:szCs w:val="28"/>
        </w:rPr>
        <w:t>根据评分标准，该指标得</w:t>
      </w:r>
      <w:r>
        <w:rPr>
          <w:rFonts w:hint="eastAsia" w:ascii="仿宋_GB2312" w:hAnsi="仿宋_GB2312" w:cs="仿宋_GB2312"/>
          <w:szCs w:val="28"/>
          <w:lang w:val="en-US" w:eastAsia="zh-CN"/>
        </w:rPr>
        <w:t>3</w:t>
      </w:r>
      <w:r>
        <w:rPr>
          <w:rFonts w:hint="eastAsia" w:ascii="仿宋_GB2312" w:hAnsi="仿宋_GB2312" w:cs="仿宋_GB2312"/>
          <w:szCs w:val="28"/>
        </w:rPr>
        <w:t>分。</w:t>
      </w:r>
    </w:p>
    <w:p>
      <w:pPr>
        <w:ind w:firstLine="560"/>
      </w:pPr>
      <w:r>
        <w:rPr>
          <w:rFonts w:hint="eastAsia" w:ascii="仿宋_GB2312" w:hAnsi="仿宋_GB2312" w:cs="仿宋_GB2312"/>
          <w:szCs w:val="28"/>
        </w:rPr>
        <w:t xml:space="preserve"> </w:t>
      </w:r>
      <w:r>
        <w:rPr>
          <w:rFonts w:hint="eastAsia"/>
        </w:rPr>
        <w:t>“照明路灯数量”指标，预期指标值为</w:t>
      </w:r>
      <w:r>
        <w:rPr>
          <w:rFonts w:hint="eastAsia"/>
          <w:lang w:eastAsia="zh-CN"/>
        </w:rPr>
        <w:t>大于等于</w:t>
      </w:r>
      <w:r>
        <w:rPr>
          <w:rFonts w:hint="eastAsia"/>
        </w:rPr>
        <w:t>2800盏</w:t>
      </w:r>
      <w:r>
        <w:rPr>
          <w:rFonts w:hint="eastAsia"/>
          <w:lang w:eastAsia="zh-CN"/>
        </w:rPr>
        <w:t>，</w:t>
      </w:r>
      <w:r>
        <w:rPr>
          <w:rFonts w:hint="eastAsia" w:ascii="仿宋_GB2312" w:hAnsi="仿宋_GB2312" w:cs="仿宋_GB2312"/>
          <w:szCs w:val="28"/>
        </w:rPr>
        <w:t>实际完成指标值为</w:t>
      </w:r>
      <w:r>
        <w:rPr>
          <w:rFonts w:hint="eastAsia"/>
        </w:rPr>
        <w:t>2800盏</w:t>
      </w:r>
      <w:r>
        <w:rPr>
          <w:rFonts w:hint="eastAsia" w:ascii="仿宋_GB2312" w:hAnsi="仿宋_GB2312" w:cs="仿宋_GB2312"/>
          <w:szCs w:val="28"/>
        </w:rPr>
        <w:t>，指标完成率为100%。</w:t>
      </w:r>
      <w:r>
        <w:rPr>
          <w:rFonts w:hint="eastAsia" w:ascii="仿宋_GB2312" w:cs="仿宋_GB2312"/>
          <w:szCs w:val="28"/>
        </w:rPr>
        <w:t>本指标满分为</w:t>
      </w:r>
      <w:r>
        <w:rPr>
          <w:rFonts w:hint="eastAsia" w:ascii="仿宋_GB2312" w:hAnsi="仿宋_GB2312" w:cs="仿宋_GB2312"/>
          <w:szCs w:val="28"/>
          <w:lang w:val="en-US" w:eastAsia="zh-CN"/>
        </w:rPr>
        <w:t>3</w:t>
      </w:r>
      <w:r>
        <w:rPr>
          <w:rFonts w:hint="eastAsia" w:ascii="仿宋_GB2312" w:cs="仿宋_GB2312"/>
          <w:szCs w:val="28"/>
        </w:rPr>
        <w:t>分，</w:t>
      </w:r>
      <w:r>
        <w:rPr>
          <w:rFonts w:hint="eastAsia" w:ascii="仿宋_GB2312" w:hAnsi="仿宋_GB2312" w:cs="仿宋_GB2312"/>
          <w:szCs w:val="28"/>
        </w:rPr>
        <w:t>根据评分标准，该指标得</w:t>
      </w:r>
      <w:r>
        <w:rPr>
          <w:rFonts w:hint="eastAsia" w:ascii="仿宋_GB2312" w:hAnsi="仿宋_GB2312" w:cs="仿宋_GB2312"/>
          <w:szCs w:val="28"/>
          <w:lang w:val="en-US" w:eastAsia="zh-CN"/>
        </w:rPr>
        <w:t>3</w:t>
      </w:r>
      <w:r>
        <w:rPr>
          <w:rFonts w:hint="eastAsia" w:ascii="仿宋_GB2312" w:hAnsi="仿宋_GB2312" w:cs="仿宋_GB2312"/>
          <w:szCs w:val="28"/>
        </w:rPr>
        <w:t>分。</w:t>
      </w:r>
    </w:p>
    <w:p>
      <w:pPr>
        <w:ind w:firstLine="560"/>
      </w:pPr>
      <w:r>
        <w:rPr>
          <w:rFonts w:hint="eastAsia" w:ascii="仿宋_GB2312" w:hAnsi="仿宋_GB2312" w:cs="仿宋_GB2312"/>
          <w:szCs w:val="28"/>
        </w:rPr>
        <w:t xml:space="preserve"> </w:t>
      </w:r>
      <w:r>
        <w:rPr>
          <w:rFonts w:hint="eastAsia"/>
        </w:rPr>
        <w:t>“城区绿化补种植面积”指标，预期指标值为</w:t>
      </w:r>
      <w:r>
        <w:rPr>
          <w:rFonts w:hint="eastAsia"/>
          <w:lang w:eastAsia="zh-CN"/>
        </w:rPr>
        <w:t>大于等于</w:t>
      </w:r>
      <w:r>
        <w:rPr>
          <w:rFonts w:hint="eastAsia"/>
        </w:rPr>
        <w:t>500平方米</w:t>
      </w:r>
      <w:r>
        <w:rPr>
          <w:rFonts w:hint="eastAsia" w:ascii="仿宋_GB2312" w:hAnsi="仿宋_GB2312" w:cs="仿宋_GB2312"/>
          <w:szCs w:val="28"/>
        </w:rPr>
        <w:t>，实际完成指标值为</w:t>
      </w:r>
      <w:r>
        <w:rPr>
          <w:rFonts w:hint="eastAsia"/>
        </w:rPr>
        <w:t>500平方米</w:t>
      </w:r>
      <w:r>
        <w:rPr>
          <w:rFonts w:hint="eastAsia" w:ascii="仿宋_GB2312" w:hAnsi="仿宋_GB2312" w:cs="仿宋_GB2312"/>
          <w:szCs w:val="28"/>
        </w:rPr>
        <w:t>，指标完成率为100%。</w:t>
      </w:r>
      <w:r>
        <w:rPr>
          <w:rFonts w:hint="eastAsia" w:ascii="仿宋_GB2312" w:cs="仿宋_GB2312"/>
          <w:szCs w:val="28"/>
        </w:rPr>
        <w:t>本指标满分为</w:t>
      </w:r>
      <w:r>
        <w:rPr>
          <w:rFonts w:hint="eastAsia" w:ascii="仿宋_GB2312" w:hAnsi="仿宋_GB2312" w:cs="仿宋_GB2312"/>
          <w:szCs w:val="28"/>
          <w:lang w:val="en-US" w:eastAsia="zh-CN"/>
        </w:rPr>
        <w:t>3</w:t>
      </w:r>
      <w:r>
        <w:rPr>
          <w:rFonts w:hint="eastAsia" w:ascii="仿宋_GB2312" w:cs="仿宋_GB2312"/>
          <w:szCs w:val="28"/>
        </w:rPr>
        <w:t>分，</w:t>
      </w:r>
      <w:r>
        <w:rPr>
          <w:rFonts w:hint="eastAsia" w:ascii="仿宋_GB2312" w:hAnsi="仿宋_GB2312" w:cs="仿宋_GB2312"/>
          <w:szCs w:val="28"/>
        </w:rPr>
        <w:t>根据评分标准，该指标得</w:t>
      </w:r>
      <w:r>
        <w:rPr>
          <w:rFonts w:hint="eastAsia" w:ascii="仿宋_GB2312" w:hAnsi="仿宋_GB2312" w:cs="仿宋_GB2312"/>
          <w:szCs w:val="28"/>
          <w:lang w:val="en-US" w:eastAsia="zh-CN"/>
        </w:rPr>
        <w:t>3</w:t>
      </w:r>
      <w:r>
        <w:rPr>
          <w:rFonts w:hint="eastAsia" w:ascii="仿宋_GB2312" w:hAnsi="仿宋_GB2312" w:cs="仿宋_GB2312"/>
          <w:szCs w:val="28"/>
        </w:rPr>
        <w:t>分。</w:t>
      </w:r>
    </w:p>
    <w:p>
      <w:pPr>
        <w:ind w:firstLine="560"/>
        <w:rPr>
          <w:rFonts w:hint="eastAsia"/>
        </w:rPr>
      </w:pPr>
      <w:r>
        <w:rPr>
          <w:rFonts w:hint="eastAsia" w:ascii="仿宋_GB2312" w:hAnsi="仿宋_GB2312" w:cs="仿宋_GB2312"/>
          <w:szCs w:val="28"/>
        </w:rPr>
        <w:t xml:space="preserve"> </w:t>
      </w:r>
      <w:r>
        <w:rPr>
          <w:rFonts w:hint="eastAsia"/>
        </w:rPr>
        <w:t>“市政修复工程数量”指标，预期指标值为</w:t>
      </w:r>
      <w:r>
        <w:rPr>
          <w:rFonts w:hint="eastAsia"/>
          <w:lang w:eastAsia="zh-CN"/>
        </w:rPr>
        <w:t>大于等于</w:t>
      </w:r>
      <w:r>
        <w:rPr>
          <w:rFonts w:hint="eastAsia"/>
        </w:rPr>
        <w:t>98次</w:t>
      </w:r>
      <w:r>
        <w:rPr>
          <w:rFonts w:hint="eastAsia" w:ascii="仿宋_GB2312" w:hAnsi="仿宋_GB2312" w:cs="仿宋_GB2312"/>
          <w:szCs w:val="28"/>
        </w:rPr>
        <w:t>，实际完成指标值为9</w:t>
      </w:r>
      <w:r>
        <w:rPr>
          <w:rFonts w:hint="eastAsia" w:ascii="仿宋_GB2312" w:hAnsi="仿宋_GB2312" w:cs="仿宋_GB2312"/>
          <w:szCs w:val="28"/>
          <w:lang w:val="en-US" w:eastAsia="zh-CN"/>
        </w:rPr>
        <w:t>8</w:t>
      </w:r>
      <w:r>
        <w:rPr>
          <w:rFonts w:hint="eastAsia" w:ascii="仿宋_GB2312" w:hAnsi="仿宋_GB2312" w:cs="仿宋_GB2312"/>
          <w:szCs w:val="28"/>
        </w:rPr>
        <w:t>个，指标完成率为100%。</w:t>
      </w:r>
      <w:r>
        <w:rPr>
          <w:rFonts w:hint="eastAsia" w:ascii="仿宋_GB2312" w:cs="仿宋_GB2312"/>
          <w:szCs w:val="28"/>
        </w:rPr>
        <w:t>本指标满分为</w:t>
      </w:r>
      <w:r>
        <w:rPr>
          <w:rFonts w:hint="eastAsia" w:ascii="仿宋_GB2312" w:hAnsi="仿宋_GB2312" w:cs="仿宋_GB2312"/>
          <w:szCs w:val="28"/>
          <w:lang w:val="en-US" w:eastAsia="zh-CN"/>
        </w:rPr>
        <w:t>3</w:t>
      </w:r>
      <w:r>
        <w:rPr>
          <w:rFonts w:hint="eastAsia" w:ascii="仿宋_GB2312" w:cs="仿宋_GB2312"/>
          <w:szCs w:val="28"/>
        </w:rPr>
        <w:t>分，</w:t>
      </w:r>
      <w:r>
        <w:rPr>
          <w:rFonts w:hint="eastAsia" w:ascii="仿宋_GB2312" w:hAnsi="仿宋_GB2312" w:cs="仿宋_GB2312"/>
          <w:szCs w:val="28"/>
        </w:rPr>
        <w:t>根据评分标准，该指标得</w:t>
      </w:r>
      <w:r>
        <w:rPr>
          <w:rFonts w:hint="eastAsia" w:ascii="仿宋_GB2312" w:hAnsi="仿宋_GB2312" w:cs="仿宋_GB2312"/>
          <w:szCs w:val="28"/>
          <w:lang w:val="en-US" w:eastAsia="zh-CN"/>
        </w:rPr>
        <w:t>3</w:t>
      </w:r>
      <w:r>
        <w:rPr>
          <w:rFonts w:hint="eastAsia" w:ascii="仿宋_GB2312" w:hAnsi="仿宋_GB2312" w:cs="仿宋_GB2312"/>
          <w:szCs w:val="28"/>
        </w:rPr>
        <w:t>分。</w:t>
      </w:r>
    </w:p>
    <w:p>
      <w:pPr>
        <w:pStyle w:val="6"/>
        <w:ind w:firstLine="560"/>
      </w:pPr>
      <w:r>
        <w:rPr>
          <w:rFonts w:hint="eastAsia"/>
        </w:rPr>
        <w:t>2.质量指标完成情况分析</w:t>
      </w:r>
    </w:p>
    <w:p>
      <w:pPr>
        <w:ind w:firstLine="560"/>
        <w:rPr>
          <w:rFonts w:ascii="仿宋_GB2312" w:hAnsi="仿宋_GB2312" w:cs="仿宋_GB2312"/>
          <w:szCs w:val="28"/>
        </w:rPr>
      </w:pPr>
      <w:r>
        <w:rPr>
          <w:rFonts w:hint="eastAsia"/>
        </w:rPr>
        <w:t>“市政工程修复验收合格率”指标，预期指标值为100%</w:t>
      </w:r>
      <w:r>
        <w:rPr>
          <w:rFonts w:hint="eastAsia"/>
          <w:lang w:eastAsia="zh-CN"/>
        </w:rPr>
        <w:t>，</w:t>
      </w:r>
      <w:r>
        <w:rPr>
          <w:rFonts w:hint="eastAsia" w:ascii="仿宋_GB2312" w:hAnsi="仿宋_GB2312" w:cs="仿宋_GB2312"/>
          <w:szCs w:val="28"/>
        </w:rPr>
        <w:t>实际完成指标值为</w:t>
      </w:r>
      <w:r>
        <w:rPr>
          <w:rFonts w:ascii="仿宋_GB2312" w:hAnsi="仿宋_GB2312" w:cs="仿宋_GB2312"/>
          <w:szCs w:val="28"/>
        </w:rPr>
        <w:t>100%</w:t>
      </w:r>
      <w:r>
        <w:rPr>
          <w:rFonts w:hint="eastAsia" w:ascii="仿宋_GB2312" w:hAnsi="仿宋_GB2312" w:cs="仿宋_GB2312"/>
          <w:szCs w:val="28"/>
        </w:rPr>
        <w:t>，指标完成率为</w:t>
      </w:r>
      <w:r>
        <w:rPr>
          <w:rFonts w:ascii="仿宋_GB2312" w:hAnsi="仿宋_GB2312" w:cs="仿宋_GB2312"/>
          <w:szCs w:val="28"/>
        </w:rPr>
        <w:t>100%</w:t>
      </w:r>
      <w:r>
        <w:rPr>
          <w:rFonts w:hint="eastAsia" w:ascii="仿宋_GB2312" w:hAnsi="仿宋_GB2312" w:cs="仿宋_GB2312"/>
          <w:szCs w:val="28"/>
        </w:rPr>
        <w:t>。</w:t>
      </w:r>
      <w:r>
        <w:rPr>
          <w:rFonts w:hint="eastAsia" w:ascii="仿宋_GB2312" w:cs="仿宋_GB2312"/>
          <w:szCs w:val="28"/>
        </w:rPr>
        <w:t>本指标满分为2.4分，</w:t>
      </w:r>
      <w:r>
        <w:rPr>
          <w:rFonts w:hint="eastAsia" w:ascii="仿宋_GB2312" w:hAnsi="仿宋_GB2312" w:cs="仿宋_GB2312"/>
          <w:szCs w:val="28"/>
        </w:rPr>
        <w:t>根据评分标准，该指标得</w:t>
      </w:r>
      <w:r>
        <w:rPr>
          <w:rFonts w:hint="eastAsia" w:ascii="仿宋_GB2312" w:cs="仿宋_GB2312"/>
          <w:szCs w:val="28"/>
        </w:rPr>
        <w:t>2.4</w:t>
      </w:r>
      <w:r>
        <w:rPr>
          <w:rFonts w:hint="eastAsia" w:ascii="仿宋_GB2312" w:hAnsi="仿宋_GB2312" w:cs="仿宋_GB2312"/>
          <w:szCs w:val="28"/>
        </w:rPr>
        <w:t>分。</w:t>
      </w:r>
    </w:p>
    <w:p>
      <w:pPr>
        <w:ind w:firstLine="560"/>
      </w:pPr>
      <w:r>
        <w:rPr>
          <w:rFonts w:hint="eastAsia"/>
        </w:rPr>
        <w:t>“路灯设施正常照明率”指标，预期指标值为100%</w:t>
      </w:r>
      <w:r>
        <w:rPr>
          <w:rFonts w:hint="eastAsia" w:ascii="仿宋_GB2312" w:hAnsi="仿宋_GB2312" w:cs="仿宋_GB2312"/>
          <w:szCs w:val="28"/>
        </w:rPr>
        <w:t>，实际完成指标值为</w:t>
      </w:r>
      <w:r>
        <w:rPr>
          <w:rFonts w:ascii="仿宋_GB2312" w:hAnsi="仿宋_GB2312" w:cs="仿宋_GB2312"/>
          <w:szCs w:val="28"/>
        </w:rPr>
        <w:t>100%</w:t>
      </w:r>
      <w:r>
        <w:rPr>
          <w:rFonts w:hint="eastAsia" w:ascii="仿宋_GB2312" w:hAnsi="仿宋_GB2312" w:cs="仿宋_GB2312"/>
          <w:szCs w:val="28"/>
        </w:rPr>
        <w:t>，指标完成率为</w:t>
      </w:r>
      <w:r>
        <w:rPr>
          <w:rFonts w:ascii="仿宋_GB2312" w:hAnsi="仿宋_GB2312" w:cs="仿宋_GB2312"/>
          <w:szCs w:val="28"/>
        </w:rPr>
        <w:t>100%</w:t>
      </w:r>
      <w:r>
        <w:rPr>
          <w:rFonts w:hint="eastAsia" w:ascii="仿宋_GB2312" w:hAnsi="仿宋_GB2312" w:cs="仿宋_GB2312"/>
          <w:szCs w:val="28"/>
        </w:rPr>
        <w:t>。</w:t>
      </w:r>
      <w:r>
        <w:rPr>
          <w:rFonts w:hint="eastAsia" w:ascii="仿宋_GB2312" w:cs="仿宋_GB2312"/>
          <w:szCs w:val="28"/>
        </w:rPr>
        <w:t>本指标满分为2.4分，</w:t>
      </w:r>
      <w:r>
        <w:rPr>
          <w:rFonts w:hint="eastAsia" w:ascii="仿宋_GB2312" w:hAnsi="仿宋_GB2312" w:cs="仿宋_GB2312"/>
          <w:szCs w:val="28"/>
        </w:rPr>
        <w:t>根据评分标准，该指标得</w:t>
      </w:r>
      <w:r>
        <w:rPr>
          <w:rFonts w:hint="eastAsia" w:ascii="仿宋_GB2312" w:cs="仿宋_GB2312"/>
          <w:szCs w:val="28"/>
        </w:rPr>
        <w:t>2.4</w:t>
      </w:r>
      <w:r>
        <w:rPr>
          <w:rFonts w:hint="eastAsia" w:ascii="仿宋_GB2312" w:hAnsi="仿宋_GB2312" w:cs="仿宋_GB2312"/>
          <w:szCs w:val="28"/>
        </w:rPr>
        <w:t>分。</w:t>
      </w:r>
    </w:p>
    <w:p>
      <w:pPr>
        <w:ind w:firstLine="560"/>
      </w:pPr>
      <w:r>
        <w:rPr>
          <w:rFonts w:hint="eastAsia"/>
        </w:rPr>
        <w:t>“资金规范管理使用率”指标，预期指标值为100%</w:t>
      </w:r>
      <w:r>
        <w:rPr>
          <w:rFonts w:hint="eastAsia" w:ascii="仿宋_GB2312" w:hAnsi="仿宋_GB2312" w:cs="仿宋_GB2312"/>
          <w:szCs w:val="28"/>
        </w:rPr>
        <w:t>，实际完成指标值为</w:t>
      </w:r>
      <w:r>
        <w:rPr>
          <w:rFonts w:ascii="仿宋_GB2312" w:hAnsi="仿宋_GB2312" w:cs="仿宋_GB2312"/>
          <w:szCs w:val="28"/>
        </w:rPr>
        <w:t>100%</w:t>
      </w:r>
      <w:r>
        <w:rPr>
          <w:rFonts w:hint="eastAsia" w:ascii="仿宋_GB2312" w:hAnsi="仿宋_GB2312" w:cs="仿宋_GB2312"/>
          <w:szCs w:val="28"/>
        </w:rPr>
        <w:t>，指标完成率为</w:t>
      </w:r>
      <w:r>
        <w:rPr>
          <w:rFonts w:ascii="仿宋_GB2312" w:hAnsi="仿宋_GB2312" w:cs="仿宋_GB2312"/>
          <w:szCs w:val="28"/>
        </w:rPr>
        <w:t>100%</w:t>
      </w:r>
      <w:r>
        <w:rPr>
          <w:rFonts w:hint="eastAsia" w:ascii="仿宋_GB2312" w:hAnsi="仿宋_GB2312" w:cs="仿宋_GB2312"/>
          <w:szCs w:val="28"/>
        </w:rPr>
        <w:t>。</w:t>
      </w:r>
      <w:r>
        <w:rPr>
          <w:rFonts w:hint="eastAsia" w:ascii="仿宋_GB2312" w:cs="仿宋_GB2312"/>
          <w:szCs w:val="28"/>
        </w:rPr>
        <w:t>本指标满分为2.4分，</w:t>
      </w:r>
      <w:r>
        <w:rPr>
          <w:rFonts w:hint="eastAsia" w:ascii="仿宋_GB2312" w:hAnsi="仿宋_GB2312" w:cs="仿宋_GB2312"/>
          <w:szCs w:val="28"/>
        </w:rPr>
        <w:t>根据评分标准，该指标得</w:t>
      </w:r>
      <w:r>
        <w:rPr>
          <w:rFonts w:hint="eastAsia" w:ascii="仿宋_GB2312" w:cs="仿宋_GB2312"/>
          <w:szCs w:val="28"/>
        </w:rPr>
        <w:t>2.4</w:t>
      </w:r>
      <w:r>
        <w:rPr>
          <w:rFonts w:hint="eastAsia" w:ascii="仿宋_GB2312" w:hAnsi="仿宋_GB2312" w:cs="仿宋_GB2312"/>
          <w:szCs w:val="28"/>
        </w:rPr>
        <w:t>分。</w:t>
      </w:r>
    </w:p>
    <w:p>
      <w:pPr>
        <w:pStyle w:val="6"/>
        <w:ind w:firstLine="560"/>
      </w:pPr>
      <w:r>
        <w:rPr>
          <w:rFonts w:hint="eastAsia"/>
        </w:rPr>
        <w:t>3.时效指标完成情况分析</w:t>
      </w:r>
    </w:p>
    <w:p>
      <w:pPr>
        <w:ind w:firstLine="560"/>
        <w:rPr>
          <w:rFonts w:hint="eastAsia"/>
        </w:rPr>
      </w:pPr>
      <w:r>
        <w:rPr>
          <w:rFonts w:hint="eastAsia" w:ascii="仿宋_GB2312" w:hAnsi="仿宋_GB2312" w:cs="仿宋_GB2312"/>
          <w:szCs w:val="28"/>
        </w:rPr>
        <w:t xml:space="preserve"> </w:t>
      </w:r>
      <w:r>
        <w:rPr>
          <w:rFonts w:hint="eastAsia"/>
        </w:rPr>
        <w:t>“路灯设施故障修复响应时间”指标，预期指标值为</w:t>
      </w:r>
      <w:r>
        <w:rPr>
          <w:rFonts w:hint="eastAsia"/>
          <w:lang w:eastAsia="zh-CN"/>
        </w:rPr>
        <w:t>小于等于</w:t>
      </w:r>
      <w:r>
        <w:rPr>
          <w:rFonts w:hint="eastAsia"/>
        </w:rPr>
        <w:t>2天</w:t>
      </w:r>
      <w:r>
        <w:rPr>
          <w:rFonts w:hint="eastAsia" w:ascii="仿宋_GB2312" w:hAnsi="仿宋_GB2312" w:cs="仿宋_GB2312"/>
          <w:szCs w:val="28"/>
        </w:rPr>
        <w:t>，指标完成率为</w:t>
      </w:r>
      <w:r>
        <w:rPr>
          <w:rFonts w:hint="eastAsia"/>
        </w:rPr>
        <w:t>2天</w:t>
      </w:r>
      <w:r>
        <w:rPr>
          <w:rFonts w:hint="eastAsia" w:ascii="仿宋_GB2312" w:hAnsi="仿宋_GB2312" w:cs="仿宋_GB2312"/>
          <w:szCs w:val="28"/>
        </w:rPr>
        <w:t>。</w:t>
      </w:r>
      <w:r>
        <w:rPr>
          <w:rFonts w:hint="eastAsia" w:ascii="仿宋_GB2312" w:cs="仿宋_GB2312"/>
          <w:szCs w:val="28"/>
        </w:rPr>
        <w:t>本指标满分为</w:t>
      </w:r>
      <w:r>
        <w:rPr>
          <w:rFonts w:hint="eastAsia" w:ascii="仿宋_GB2312" w:cs="仿宋_GB2312"/>
          <w:szCs w:val="28"/>
          <w:lang w:val="en-US" w:eastAsia="zh-CN"/>
        </w:rPr>
        <w:t>2.4</w:t>
      </w:r>
      <w:r>
        <w:rPr>
          <w:rFonts w:hint="eastAsia" w:ascii="仿宋_GB2312" w:cs="仿宋_GB2312"/>
          <w:szCs w:val="28"/>
        </w:rPr>
        <w:t>分，</w:t>
      </w:r>
      <w:r>
        <w:rPr>
          <w:rFonts w:hint="eastAsia" w:ascii="仿宋_GB2312" w:hAnsi="仿宋_GB2312" w:cs="仿宋_GB2312"/>
          <w:szCs w:val="28"/>
        </w:rPr>
        <w:t>根据评分标准，该指标得</w:t>
      </w:r>
      <w:r>
        <w:rPr>
          <w:rFonts w:hint="eastAsia" w:ascii="仿宋_GB2312" w:cs="仿宋_GB2312"/>
          <w:szCs w:val="28"/>
          <w:lang w:val="en-US" w:eastAsia="zh-CN"/>
        </w:rPr>
        <w:t>2.4</w:t>
      </w:r>
      <w:r>
        <w:rPr>
          <w:rFonts w:hint="eastAsia" w:ascii="仿宋_GB2312" w:hAnsi="仿宋_GB2312" w:cs="仿宋_GB2312"/>
          <w:szCs w:val="28"/>
        </w:rPr>
        <w:t>分。</w:t>
      </w:r>
    </w:p>
    <w:p>
      <w:pPr>
        <w:ind w:firstLine="560"/>
        <w:rPr>
          <w:rFonts w:hint="eastAsia" w:eastAsia="仿宋_GB2312"/>
          <w:lang w:eastAsia="zh-CN"/>
        </w:rPr>
      </w:pPr>
      <w:r>
        <w:rPr>
          <w:rFonts w:hint="eastAsia"/>
          <w:lang w:eastAsia="zh-CN"/>
        </w:rPr>
        <w:t>“</w:t>
      </w:r>
      <w:r>
        <w:rPr>
          <w:rFonts w:hint="eastAsia"/>
        </w:rPr>
        <w:t>项目及时完成率</w:t>
      </w:r>
      <w:r>
        <w:rPr>
          <w:rFonts w:hint="eastAsia"/>
          <w:lang w:eastAsia="zh-CN"/>
        </w:rPr>
        <w:t>”</w:t>
      </w:r>
      <w:r>
        <w:rPr>
          <w:rFonts w:hint="eastAsia"/>
        </w:rPr>
        <w:t>指标预期指标值为100%</w:t>
      </w:r>
      <w:r>
        <w:rPr>
          <w:rFonts w:hint="eastAsia"/>
          <w:lang w:eastAsia="zh-CN"/>
        </w:rPr>
        <w:t>，</w:t>
      </w:r>
      <w:r>
        <w:rPr>
          <w:rFonts w:hint="eastAsia" w:ascii="仿宋_GB2312" w:hAnsi="仿宋_GB2312" w:cs="仿宋_GB2312"/>
          <w:szCs w:val="28"/>
        </w:rPr>
        <w:t>指标完成率为</w:t>
      </w:r>
      <w:r>
        <w:rPr>
          <w:rFonts w:hint="eastAsia"/>
        </w:rPr>
        <w:t>100%</w:t>
      </w:r>
      <w:r>
        <w:rPr>
          <w:rFonts w:hint="eastAsia" w:ascii="仿宋_GB2312" w:hAnsi="仿宋_GB2312" w:cs="仿宋_GB2312"/>
          <w:szCs w:val="28"/>
        </w:rPr>
        <w:t>。</w:t>
      </w:r>
      <w:r>
        <w:rPr>
          <w:rFonts w:hint="eastAsia" w:ascii="仿宋_GB2312" w:cs="仿宋_GB2312"/>
          <w:szCs w:val="28"/>
        </w:rPr>
        <w:t>本指标满分为</w:t>
      </w:r>
      <w:r>
        <w:rPr>
          <w:rFonts w:hint="eastAsia" w:ascii="仿宋_GB2312" w:cs="仿宋_GB2312"/>
          <w:szCs w:val="28"/>
          <w:lang w:val="en-US" w:eastAsia="zh-CN"/>
        </w:rPr>
        <w:t>2.4</w:t>
      </w:r>
      <w:r>
        <w:rPr>
          <w:rFonts w:hint="eastAsia" w:ascii="仿宋_GB2312" w:cs="仿宋_GB2312"/>
          <w:szCs w:val="28"/>
        </w:rPr>
        <w:t>分，</w:t>
      </w:r>
      <w:r>
        <w:rPr>
          <w:rFonts w:hint="eastAsia" w:ascii="仿宋_GB2312" w:hAnsi="仿宋_GB2312" w:cs="仿宋_GB2312"/>
          <w:szCs w:val="28"/>
        </w:rPr>
        <w:t>根据评分标准，该指标得</w:t>
      </w:r>
      <w:r>
        <w:rPr>
          <w:rFonts w:hint="eastAsia" w:ascii="仿宋_GB2312" w:cs="仿宋_GB2312"/>
          <w:szCs w:val="28"/>
          <w:lang w:val="en-US" w:eastAsia="zh-CN"/>
        </w:rPr>
        <w:t>2.4</w:t>
      </w:r>
      <w:r>
        <w:rPr>
          <w:rFonts w:hint="eastAsia" w:ascii="仿宋_GB2312" w:hAnsi="仿宋_GB2312" w:cs="仿宋_GB2312"/>
          <w:szCs w:val="28"/>
        </w:rPr>
        <w:t>分。</w:t>
      </w:r>
    </w:p>
    <w:p>
      <w:pPr>
        <w:numPr>
          <w:ilvl w:val="0"/>
          <w:numId w:val="0"/>
        </w:numPr>
        <w:ind w:firstLine="643" w:firstLineChars="200"/>
        <w:rPr>
          <w:rFonts w:hint="eastAsia" w:ascii="仿宋_GB2312" w:hAnsi="仿宋_GB2312"/>
          <w:b/>
          <w:bCs/>
          <w:kern w:val="0"/>
          <w:szCs w:val="32"/>
        </w:rPr>
      </w:pPr>
      <w:r>
        <w:rPr>
          <w:rFonts w:hint="eastAsia" w:ascii="仿宋_GB2312" w:hAnsi="仿宋_GB2312" w:eastAsia="仿宋_GB2312" w:cs="仿宋_GB2312"/>
          <w:b/>
          <w:bCs/>
          <w:kern w:val="0"/>
          <w:sz w:val="32"/>
          <w:szCs w:val="32"/>
          <w:lang w:val="en-US" w:eastAsia="zh-CN" w:bidi="ar-SA"/>
        </w:rPr>
        <w:t>（四）成本指标完成情况分析</w:t>
      </w:r>
    </w:p>
    <w:p>
      <w:pPr>
        <w:ind w:firstLine="560"/>
        <w:rPr>
          <w:rFonts w:hint="eastAsia"/>
        </w:rPr>
      </w:pPr>
      <w:r>
        <w:rPr>
          <w:rFonts w:hint="eastAsia"/>
        </w:rPr>
        <w:t>项目效益类指标</w:t>
      </w:r>
      <w:r>
        <w:rPr>
          <w:rFonts w:hint="eastAsia" w:ascii="仿宋_GB2312" w:cs="仿宋_GB2312"/>
          <w:szCs w:val="28"/>
        </w:rPr>
        <w:t>包括</w:t>
      </w:r>
      <w:r>
        <w:rPr>
          <w:rFonts w:hint="eastAsia" w:ascii="仿宋_GB2312" w:cs="仿宋_GB2312"/>
          <w:szCs w:val="28"/>
          <w:lang w:eastAsia="zh-CN"/>
        </w:rPr>
        <w:t>经济成本指标、社会成本指标、生态环境成本指标三</w:t>
      </w:r>
      <w:r>
        <w:rPr>
          <w:rFonts w:hint="eastAsia" w:ascii="仿宋_GB2312" w:cs="仿宋_GB2312"/>
          <w:szCs w:val="28"/>
        </w:rPr>
        <w:t>方面的内容，</w:t>
      </w:r>
      <w:r>
        <w:rPr>
          <w:rFonts w:hint="eastAsia" w:ascii="仿宋_GB2312" w:cs="仿宋_GB2312"/>
          <w:szCs w:val="28"/>
          <w:lang w:eastAsia="zh-CN"/>
        </w:rPr>
        <w:t>本项目仅涉及经济成本指标</w:t>
      </w:r>
      <w:r>
        <w:rPr>
          <w:rFonts w:hint="eastAsia" w:ascii="仿宋_GB2312" w:cs="仿宋_GB2312"/>
          <w:szCs w:val="28"/>
        </w:rPr>
        <w:t>，权重分为</w:t>
      </w:r>
      <w:r>
        <w:rPr>
          <w:rFonts w:hint="eastAsia" w:ascii="仿宋_GB2312" w:cs="仿宋_GB2312"/>
          <w:szCs w:val="28"/>
          <w:lang w:val="en-US" w:eastAsia="zh-CN"/>
        </w:rPr>
        <w:t>12</w:t>
      </w:r>
      <w:r>
        <w:rPr>
          <w:rFonts w:hint="eastAsia" w:ascii="仿宋_GB2312" w:cs="仿宋_GB2312"/>
          <w:szCs w:val="28"/>
        </w:rPr>
        <w:t>分，实际得分</w:t>
      </w:r>
      <w:r>
        <w:rPr>
          <w:rFonts w:hint="eastAsia" w:ascii="仿宋_GB2312" w:cs="仿宋_GB2312"/>
          <w:szCs w:val="28"/>
          <w:lang w:val="en-US" w:eastAsia="zh-CN"/>
        </w:rPr>
        <w:t>12</w:t>
      </w:r>
      <w:r>
        <w:rPr>
          <w:rFonts w:hint="eastAsia" w:ascii="仿宋_GB2312" w:cs="仿宋_GB2312"/>
          <w:szCs w:val="28"/>
        </w:rPr>
        <w:t>分，得分率为</w:t>
      </w:r>
      <w:r>
        <w:rPr>
          <w:rFonts w:hint="eastAsia" w:ascii="仿宋_GB2312" w:cs="仿宋_GB2312"/>
          <w:szCs w:val="28"/>
          <w:lang w:val="en-US" w:eastAsia="zh-CN"/>
        </w:rPr>
        <w:t>100</w:t>
      </w:r>
      <w:r>
        <w:rPr>
          <w:rFonts w:hint="eastAsia" w:ascii="仿宋_GB2312" w:cs="仿宋_GB2312"/>
          <w:szCs w:val="28"/>
        </w:rPr>
        <w:t>%。</w:t>
      </w:r>
    </w:p>
    <w:p>
      <w:pPr>
        <w:pStyle w:val="6"/>
        <w:ind w:firstLine="843" w:firstLineChars="300"/>
      </w:pPr>
      <w:r>
        <w:rPr>
          <w:rFonts w:hint="eastAsia"/>
          <w:lang w:val="en-US" w:eastAsia="zh-CN"/>
        </w:rPr>
        <w:t>1.</w:t>
      </w:r>
      <w:r>
        <w:rPr>
          <w:rFonts w:hint="eastAsia"/>
        </w:rPr>
        <w:t>经济成本指标</w:t>
      </w:r>
    </w:p>
    <w:p>
      <w:pPr>
        <w:ind w:firstLine="560"/>
        <w:rPr>
          <w:rFonts w:ascii="仿宋_GB2312" w:hAnsi="仿宋_GB2312" w:cs="仿宋_GB2312"/>
          <w:szCs w:val="28"/>
        </w:rPr>
      </w:pPr>
      <w:r>
        <w:rPr>
          <w:rFonts w:hint="eastAsia"/>
        </w:rPr>
        <w:t>“车辆运行油料费”指标，预期指标值为</w:t>
      </w:r>
      <w:r>
        <w:rPr>
          <w:rFonts w:hint="eastAsia"/>
          <w:lang w:eastAsia="zh-CN"/>
        </w:rPr>
        <w:t>小于等于</w:t>
      </w:r>
      <w:r>
        <w:rPr>
          <w:rFonts w:hint="eastAsia"/>
        </w:rPr>
        <w:t>120万元</w:t>
      </w:r>
      <w:r>
        <w:rPr>
          <w:rFonts w:hint="eastAsia" w:ascii="仿宋_GB2312" w:hAnsi="仿宋_GB2312" w:cs="仿宋_GB2312"/>
          <w:szCs w:val="28"/>
        </w:rPr>
        <w:t>，实际完成指标值为</w:t>
      </w:r>
      <w:r>
        <w:rPr>
          <w:rFonts w:hint="eastAsia" w:ascii="仿宋_GB2312" w:hAnsi="仿宋_GB2312" w:cs="仿宋_GB2312"/>
          <w:szCs w:val="28"/>
          <w:lang w:val="en-US" w:eastAsia="zh-CN"/>
        </w:rPr>
        <w:t>110万元</w:t>
      </w:r>
      <w:r>
        <w:rPr>
          <w:rFonts w:hint="eastAsia" w:ascii="仿宋_GB2312" w:hAnsi="仿宋_GB2312" w:cs="仿宋_GB2312"/>
          <w:szCs w:val="28"/>
        </w:rPr>
        <w:t>，指标完成率为100%。</w:t>
      </w:r>
      <w:r>
        <w:rPr>
          <w:rFonts w:hint="eastAsia" w:ascii="仿宋_GB2312" w:cs="仿宋_GB2312"/>
          <w:szCs w:val="28"/>
        </w:rPr>
        <w:t>本指标满分为</w:t>
      </w:r>
      <w:r>
        <w:rPr>
          <w:rFonts w:hint="eastAsia" w:ascii="仿宋_GB2312" w:cs="仿宋_GB2312"/>
          <w:szCs w:val="28"/>
          <w:lang w:val="en-US" w:eastAsia="zh-CN"/>
        </w:rPr>
        <w:t>2.4</w:t>
      </w:r>
      <w:r>
        <w:rPr>
          <w:rFonts w:hint="eastAsia" w:ascii="仿宋_GB2312" w:cs="仿宋_GB2312"/>
          <w:szCs w:val="28"/>
        </w:rPr>
        <w:t>分，</w:t>
      </w:r>
      <w:r>
        <w:rPr>
          <w:rFonts w:hint="eastAsia" w:ascii="仿宋_GB2312" w:hAnsi="仿宋_GB2312" w:cs="仿宋_GB2312"/>
          <w:szCs w:val="28"/>
        </w:rPr>
        <w:t>根据评分标准，该指标得</w:t>
      </w:r>
      <w:r>
        <w:rPr>
          <w:rFonts w:hint="eastAsia" w:ascii="仿宋_GB2312" w:cs="仿宋_GB2312"/>
          <w:szCs w:val="28"/>
          <w:lang w:val="en-US" w:eastAsia="zh-CN"/>
        </w:rPr>
        <w:t>2.4</w:t>
      </w:r>
      <w:r>
        <w:rPr>
          <w:rFonts w:hint="eastAsia" w:ascii="仿宋_GB2312" w:hAnsi="仿宋_GB2312" w:cs="仿宋_GB2312"/>
          <w:szCs w:val="28"/>
        </w:rPr>
        <w:t>分。</w:t>
      </w:r>
    </w:p>
    <w:p>
      <w:pPr>
        <w:ind w:firstLine="560"/>
        <w:rPr>
          <w:rFonts w:hint="eastAsia" w:ascii="仿宋_GB2312" w:hAnsi="仿宋_GB2312" w:cs="仿宋_GB2312"/>
          <w:szCs w:val="28"/>
        </w:rPr>
      </w:pPr>
      <w:r>
        <w:rPr>
          <w:rFonts w:hint="eastAsia" w:ascii="仿宋_GB2312" w:hAnsi="仿宋_GB2312" w:cs="仿宋_GB2312"/>
          <w:szCs w:val="28"/>
        </w:rPr>
        <w:t>“</w:t>
      </w:r>
      <w:r>
        <w:rPr>
          <w:rFonts w:hint="eastAsia"/>
        </w:rPr>
        <w:t>城市照明设施运行电费”指标，预期指标值为</w:t>
      </w:r>
      <w:r>
        <w:rPr>
          <w:rFonts w:hint="eastAsia"/>
          <w:lang w:eastAsia="zh-CN"/>
        </w:rPr>
        <w:t>小于等于</w:t>
      </w:r>
      <w:r>
        <w:rPr>
          <w:rFonts w:hint="eastAsia"/>
        </w:rPr>
        <w:t>300万元</w:t>
      </w:r>
      <w:r>
        <w:rPr>
          <w:rFonts w:hint="eastAsia" w:ascii="仿宋_GB2312" w:hAnsi="仿宋_GB2312" w:cs="仿宋_GB2312"/>
          <w:szCs w:val="28"/>
        </w:rPr>
        <w:t>，实际完成指标值为</w:t>
      </w:r>
      <w:r>
        <w:rPr>
          <w:rFonts w:hint="eastAsia" w:ascii="仿宋_GB2312" w:hAnsi="仿宋_GB2312" w:cs="仿宋_GB2312"/>
          <w:szCs w:val="28"/>
          <w:lang w:val="en-US" w:eastAsia="zh-CN"/>
        </w:rPr>
        <w:t>233.74万元</w:t>
      </w:r>
      <w:r>
        <w:rPr>
          <w:rFonts w:hint="eastAsia" w:ascii="仿宋_GB2312" w:hAnsi="仿宋_GB2312" w:cs="仿宋_GB2312"/>
          <w:szCs w:val="28"/>
        </w:rPr>
        <w:t>，指标完成率为</w:t>
      </w:r>
      <w:r>
        <w:rPr>
          <w:rFonts w:hint="eastAsia" w:ascii="仿宋_GB2312" w:hAnsi="仿宋_GB2312" w:cs="仿宋_GB2312"/>
          <w:szCs w:val="28"/>
          <w:lang w:val="en-US" w:eastAsia="zh-CN"/>
        </w:rPr>
        <w:t>77.91%，主要原因是：根据2023年实际使用的电量</w:t>
      </w:r>
      <w:r>
        <w:rPr>
          <w:rFonts w:hint="eastAsia" w:ascii="仿宋_GB2312" w:hAnsi="仿宋_GB2312" w:cs="仿宋_GB2312"/>
          <w:szCs w:val="28"/>
          <w:lang w:eastAsia="zh-CN"/>
        </w:rPr>
        <w:t>支付了</w:t>
      </w:r>
      <w:r>
        <w:rPr>
          <w:rFonts w:hint="eastAsia" w:ascii="仿宋_GB2312" w:hAnsi="仿宋_GB2312" w:cs="仿宋_GB2312"/>
          <w:szCs w:val="28"/>
          <w:lang w:val="en-US" w:eastAsia="zh-CN"/>
        </w:rPr>
        <w:t>2023年1-11月电费</w:t>
      </w:r>
      <w:r>
        <w:rPr>
          <w:rFonts w:hint="eastAsia" w:ascii="仿宋_GB2312" w:hAnsi="仿宋_GB2312" w:cs="仿宋_GB2312"/>
          <w:szCs w:val="28"/>
          <w:lang w:eastAsia="zh-CN"/>
        </w:rPr>
        <w:t>，</w:t>
      </w:r>
      <w:r>
        <w:rPr>
          <w:rFonts w:hint="eastAsia" w:ascii="仿宋_GB2312" w:hAnsi="仿宋_GB2312" w:cs="仿宋_GB2312"/>
          <w:szCs w:val="28"/>
          <w:lang w:val="en-US" w:eastAsia="zh-CN"/>
        </w:rPr>
        <w:t>12月份电费在2024年1月支付；改进措施：根据上年度支付情况以及当年的工作任务做好电费测算，提高预算执行率。</w:t>
      </w:r>
      <w:r>
        <w:rPr>
          <w:rFonts w:hint="eastAsia" w:ascii="仿宋_GB2312" w:cs="仿宋_GB2312"/>
          <w:szCs w:val="28"/>
        </w:rPr>
        <w:t>本指标满分为</w:t>
      </w:r>
      <w:r>
        <w:rPr>
          <w:rFonts w:hint="eastAsia" w:ascii="仿宋_GB2312" w:cs="仿宋_GB2312"/>
          <w:szCs w:val="28"/>
          <w:lang w:val="en-US" w:eastAsia="zh-CN"/>
        </w:rPr>
        <w:t>2.4</w:t>
      </w:r>
      <w:r>
        <w:rPr>
          <w:rFonts w:hint="eastAsia" w:ascii="仿宋_GB2312" w:cs="仿宋_GB2312"/>
          <w:szCs w:val="28"/>
        </w:rPr>
        <w:t>分</w:t>
      </w:r>
      <w:r>
        <w:rPr>
          <w:rFonts w:hint="eastAsia" w:ascii="仿宋_GB2312" w:hAnsi="仿宋_GB2312" w:cs="仿宋_GB2312"/>
          <w:szCs w:val="28"/>
        </w:rPr>
        <w:t>，根据评分要点，本指标得分1.87分。</w:t>
      </w:r>
    </w:p>
    <w:p>
      <w:pPr>
        <w:ind w:firstLine="560"/>
      </w:pPr>
      <w:r>
        <w:rPr>
          <w:rFonts w:hint="eastAsia"/>
        </w:rPr>
        <w:t>“城区绿化补种植”指标，预期指标值为</w:t>
      </w:r>
      <w:r>
        <w:rPr>
          <w:rFonts w:hint="eastAsia"/>
          <w:lang w:eastAsia="zh-CN"/>
        </w:rPr>
        <w:t>小于等于</w:t>
      </w:r>
      <w:r>
        <w:rPr>
          <w:rFonts w:hint="eastAsia"/>
        </w:rPr>
        <w:t>700万元</w:t>
      </w:r>
      <w:r>
        <w:rPr>
          <w:rFonts w:hint="eastAsia"/>
          <w:lang w:eastAsia="zh-CN"/>
        </w:rPr>
        <w:t>，</w:t>
      </w:r>
      <w:r>
        <w:rPr>
          <w:rFonts w:hint="eastAsia" w:ascii="仿宋_GB2312" w:hAnsi="仿宋_GB2312" w:cs="仿宋_GB2312"/>
          <w:szCs w:val="28"/>
        </w:rPr>
        <w:t>实际完成指标值为</w:t>
      </w:r>
      <w:r>
        <w:rPr>
          <w:rFonts w:hint="eastAsia" w:ascii="仿宋_GB2312" w:hAnsi="仿宋_GB2312" w:cs="仿宋_GB2312"/>
          <w:szCs w:val="28"/>
          <w:lang w:val="en-US" w:eastAsia="zh-CN"/>
        </w:rPr>
        <w:t>691.91万元</w:t>
      </w:r>
      <w:r>
        <w:rPr>
          <w:rFonts w:hint="eastAsia" w:ascii="仿宋_GB2312" w:hAnsi="仿宋_GB2312" w:cs="仿宋_GB2312"/>
          <w:szCs w:val="28"/>
          <w:lang w:eastAsia="zh-CN"/>
        </w:rPr>
        <w:t>，</w:t>
      </w:r>
      <w:r>
        <w:rPr>
          <w:rFonts w:hint="eastAsia" w:ascii="仿宋_GB2312" w:hAnsi="仿宋_GB2312" w:cs="仿宋_GB2312"/>
          <w:szCs w:val="28"/>
        </w:rPr>
        <w:t>指标完成率为100%。</w:t>
      </w:r>
      <w:r>
        <w:rPr>
          <w:rFonts w:hint="eastAsia" w:ascii="仿宋_GB2312" w:cs="仿宋_GB2312"/>
          <w:szCs w:val="28"/>
        </w:rPr>
        <w:t>本指标满分为</w:t>
      </w:r>
      <w:r>
        <w:rPr>
          <w:rFonts w:hint="eastAsia" w:ascii="仿宋_GB2312" w:cs="仿宋_GB2312"/>
          <w:szCs w:val="28"/>
          <w:lang w:val="en-US" w:eastAsia="zh-CN"/>
        </w:rPr>
        <w:t>2.4</w:t>
      </w:r>
      <w:r>
        <w:rPr>
          <w:rFonts w:hint="eastAsia" w:ascii="仿宋_GB2312" w:cs="仿宋_GB2312"/>
          <w:szCs w:val="28"/>
        </w:rPr>
        <w:t>分，</w:t>
      </w:r>
      <w:r>
        <w:rPr>
          <w:rFonts w:hint="eastAsia" w:ascii="仿宋_GB2312" w:hAnsi="仿宋_GB2312" w:cs="仿宋_GB2312"/>
          <w:szCs w:val="28"/>
        </w:rPr>
        <w:t>根据评分标准，该指标得</w:t>
      </w:r>
      <w:r>
        <w:rPr>
          <w:rFonts w:hint="eastAsia" w:ascii="仿宋_GB2312" w:cs="仿宋_GB2312"/>
          <w:szCs w:val="28"/>
          <w:lang w:val="en-US" w:eastAsia="zh-CN"/>
        </w:rPr>
        <w:t>2.4</w:t>
      </w:r>
      <w:r>
        <w:rPr>
          <w:rFonts w:hint="eastAsia" w:ascii="仿宋_GB2312" w:hAnsi="仿宋_GB2312" w:cs="仿宋_GB2312"/>
          <w:szCs w:val="28"/>
        </w:rPr>
        <w:t>分。</w:t>
      </w:r>
    </w:p>
    <w:p>
      <w:pPr>
        <w:ind w:firstLine="560"/>
      </w:pPr>
      <w:r>
        <w:rPr>
          <w:rFonts w:hint="eastAsia"/>
        </w:rPr>
        <w:t>“部分项目前期费及工程欠款”指标，预期指标值为</w:t>
      </w:r>
      <w:r>
        <w:rPr>
          <w:rFonts w:hint="eastAsia"/>
          <w:lang w:eastAsia="zh-CN"/>
        </w:rPr>
        <w:t>小于等于</w:t>
      </w:r>
      <w:r>
        <w:rPr>
          <w:rFonts w:hint="eastAsia"/>
        </w:rPr>
        <w:t>880万元；</w:t>
      </w:r>
      <w:r>
        <w:rPr>
          <w:rFonts w:hint="eastAsia" w:ascii="仿宋_GB2312" w:hAnsi="仿宋_GB2312" w:cs="仿宋_GB2312"/>
          <w:szCs w:val="28"/>
        </w:rPr>
        <w:t>实际完成指标值为</w:t>
      </w:r>
      <w:r>
        <w:rPr>
          <w:rFonts w:hint="eastAsia" w:ascii="仿宋_GB2312" w:hAnsi="仿宋_GB2312" w:cs="仿宋_GB2312"/>
          <w:szCs w:val="28"/>
          <w:lang w:val="en-US" w:eastAsia="zh-CN"/>
        </w:rPr>
        <w:t>879.7256万元</w:t>
      </w:r>
      <w:r>
        <w:rPr>
          <w:rFonts w:hint="eastAsia" w:ascii="仿宋_GB2312" w:hAnsi="仿宋_GB2312" w:cs="仿宋_GB2312"/>
          <w:szCs w:val="28"/>
          <w:lang w:eastAsia="zh-CN"/>
        </w:rPr>
        <w:t>，</w:t>
      </w:r>
      <w:r>
        <w:rPr>
          <w:rFonts w:hint="eastAsia" w:ascii="仿宋_GB2312" w:hAnsi="仿宋_GB2312" w:cs="仿宋_GB2312"/>
          <w:szCs w:val="28"/>
        </w:rPr>
        <w:t>指标完成率为100%。</w:t>
      </w:r>
      <w:r>
        <w:rPr>
          <w:rFonts w:hint="eastAsia" w:ascii="仿宋_GB2312" w:cs="仿宋_GB2312"/>
          <w:szCs w:val="28"/>
        </w:rPr>
        <w:t>本指标满分为</w:t>
      </w:r>
      <w:r>
        <w:rPr>
          <w:rFonts w:hint="eastAsia" w:ascii="仿宋_GB2312" w:cs="仿宋_GB2312"/>
          <w:szCs w:val="28"/>
          <w:lang w:val="en-US" w:eastAsia="zh-CN"/>
        </w:rPr>
        <w:t>2.4</w:t>
      </w:r>
      <w:r>
        <w:rPr>
          <w:rFonts w:hint="eastAsia" w:ascii="仿宋_GB2312" w:cs="仿宋_GB2312"/>
          <w:szCs w:val="28"/>
        </w:rPr>
        <w:t>分，</w:t>
      </w:r>
      <w:r>
        <w:rPr>
          <w:rFonts w:hint="eastAsia" w:ascii="仿宋_GB2312" w:hAnsi="仿宋_GB2312" w:cs="仿宋_GB2312"/>
          <w:szCs w:val="28"/>
        </w:rPr>
        <w:t>根据评分标准，该指标得</w:t>
      </w:r>
      <w:r>
        <w:rPr>
          <w:rFonts w:hint="eastAsia" w:ascii="仿宋_GB2312" w:cs="仿宋_GB2312"/>
          <w:szCs w:val="28"/>
          <w:lang w:val="en-US" w:eastAsia="zh-CN"/>
        </w:rPr>
        <w:t>2.4</w:t>
      </w:r>
      <w:r>
        <w:rPr>
          <w:rFonts w:hint="eastAsia" w:ascii="仿宋_GB2312" w:hAnsi="仿宋_GB2312" w:cs="仿宋_GB2312"/>
          <w:szCs w:val="28"/>
        </w:rPr>
        <w:t>分。</w:t>
      </w:r>
    </w:p>
    <w:p>
      <w:pPr>
        <w:ind w:firstLine="560"/>
        <w:rPr>
          <w:rFonts w:hint="eastAsia" w:ascii="仿宋_GB2312" w:hAnsi="仿宋_GB2312" w:eastAsia="仿宋_GB2312" w:cs="仿宋_GB2312"/>
          <w:szCs w:val="28"/>
          <w:lang w:eastAsia="zh-CN"/>
        </w:rPr>
      </w:pPr>
      <w:r>
        <w:rPr>
          <w:rFonts w:hint="eastAsia"/>
        </w:rPr>
        <w:t>“市政工程修复资金”指标，预期指标值为</w:t>
      </w:r>
      <w:r>
        <w:rPr>
          <w:rFonts w:hint="eastAsia"/>
          <w:lang w:eastAsia="zh-CN"/>
        </w:rPr>
        <w:t>小于等于</w:t>
      </w:r>
      <w:r>
        <w:rPr>
          <w:rFonts w:hint="eastAsia"/>
        </w:rPr>
        <w:t>700万元</w:t>
      </w:r>
      <w:r>
        <w:rPr>
          <w:rFonts w:hint="eastAsia"/>
          <w:lang w:eastAsia="zh-CN"/>
        </w:rPr>
        <w:t>，</w:t>
      </w:r>
      <w:r>
        <w:rPr>
          <w:rFonts w:hint="eastAsia" w:ascii="仿宋_GB2312" w:hAnsi="仿宋_GB2312" w:cs="仿宋_GB2312"/>
          <w:szCs w:val="28"/>
        </w:rPr>
        <w:t>实际完成指标值为</w:t>
      </w:r>
      <w:r>
        <w:rPr>
          <w:rFonts w:hint="eastAsia" w:ascii="仿宋_GB2312" w:hAnsi="仿宋_GB2312" w:cs="仿宋_GB2312"/>
          <w:szCs w:val="28"/>
          <w:lang w:val="en-US" w:eastAsia="zh-CN"/>
        </w:rPr>
        <w:t>784.62208万元</w:t>
      </w:r>
      <w:r>
        <w:rPr>
          <w:rFonts w:hint="eastAsia" w:ascii="仿宋_GB2312" w:hAnsi="仿宋_GB2312" w:cs="仿宋_GB2312"/>
          <w:szCs w:val="28"/>
          <w:lang w:eastAsia="zh-CN"/>
        </w:rPr>
        <w:t>，</w:t>
      </w:r>
      <w:r>
        <w:rPr>
          <w:rFonts w:hint="eastAsia" w:ascii="仿宋_GB2312" w:hAnsi="仿宋_GB2312" w:cs="仿宋_GB2312"/>
          <w:szCs w:val="28"/>
        </w:rPr>
        <w:t>指标完成率为0%</w:t>
      </w:r>
      <w:r>
        <w:rPr>
          <w:rFonts w:hint="eastAsia" w:ascii="仿宋_GB2312" w:hAnsi="仿宋_GB2312" w:cs="仿宋_GB2312"/>
          <w:szCs w:val="28"/>
          <w:lang w:eastAsia="zh-CN"/>
        </w:rPr>
        <w:t>。主要原因是：当年车辆运行油料费和城市照明设施运行电费支出较少，市政工程修复工程较多，支出较多；改进措施：做好成本测算工作，合理分配资金；</w:t>
      </w:r>
      <w:r>
        <w:rPr>
          <w:rFonts w:hint="eastAsia" w:ascii="仿宋_GB2312" w:cs="仿宋_GB2312"/>
          <w:szCs w:val="28"/>
        </w:rPr>
        <w:t>本指标满分为</w:t>
      </w:r>
      <w:r>
        <w:rPr>
          <w:rFonts w:hint="eastAsia" w:ascii="仿宋_GB2312" w:cs="仿宋_GB2312"/>
          <w:szCs w:val="28"/>
          <w:lang w:val="en-US" w:eastAsia="zh-CN"/>
        </w:rPr>
        <w:t>2.4</w:t>
      </w:r>
      <w:r>
        <w:rPr>
          <w:rFonts w:hint="eastAsia" w:ascii="仿宋_GB2312" w:cs="仿宋_GB2312"/>
          <w:szCs w:val="28"/>
        </w:rPr>
        <w:t>分，</w:t>
      </w:r>
      <w:r>
        <w:rPr>
          <w:rFonts w:hint="eastAsia" w:ascii="仿宋_GB2312" w:hAnsi="仿宋_GB2312" w:cs="仿宋_GB2312"/>
          <w:szCs w:val="28"/>
        </w:rPr>
        <w:t>市政工程修复支出超出目标值，根据评分要点，本指标为0分。</w:t>
      </w:r>
    </w:p>
    <w:p>
      <w:pPr>
        <w:pStyle w:val="6"/>
        <w:rPr>
          <w:rFonts w:hint="eastAsia"/>
        </w:rPr>
      </w:pPr>
      <w:r>
        <w:rPr>
          <w:rFonts w:hint="eastAsia"/>
          <w:lang w:val="en-US" w:eastAsia="zh-CN"/>
        </w:rPr>
        <w:t>2.</w:t>
      </w:r>
      <w:r>
        <w:rPr>
          <w:rFonts w:hint="eastAsia"/>
        </w:rPr>
        <w:t>社会成本指标</w:t>
      </w:r>
    </w:p>
    <w:p>
      <w:pPr>
        <w:pStyle w:val="6"/>
        <w:ind w:firstLine="560"/>
        <w:rPr>
          <w:rFonts w:hint="eastAsia"/>
        </w:rPr>
      </w:pPr>
      <w:r>
        <w:rPr>
          <w:rFonts w:hint="eastAsia" w:hAnsi="Times New Roman" w:cs="仿宋_GB2312"/>
          <w:b w:val="0"/>
          <w:bCs w:val="0"/>
          <w:kern w:val="2"/>
          <w:szCs w:val="28"/>
        </w:rPr>
        <w:t>本项目无该指标</w:t>
      </w:r>
      <w:r>
        <w:rPr>
          <w:rFonts w:hint="eastAsia" w:hAnsi="Times New Roman" w:cs="仿宋_GB2312"/>
          <w:b w:val="0"/>
          <w:bCs w:val="0"/>
          <w:kern w:val="2"/>
          <w:szCs w:val="28"/>
          <w:lang w:eastAsia="zh-CN"/>
        </w:rPr>
        <w:t>。</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pPr>
        <w:pStyle w:val="6"/>
        <w:rPr>
          <w:rFonts w:hint="eastAsia"/>
        </w:rPr>
      </w:pPr>
      <w:r>
        <w:rPr>
          <w:rFonts w:hint="eastAsia"/>
          <w:lang w:val="en-US" w:eastAsia="zh-CN"/>
        </w:rPr>
        <w:t>3.</w:t>
      </w:r>
      <w:r>
        <w:rPr>
          <w:rFonts w:hint="eastAsia"/>
        </w:rPr>
        <w:t>生态环境成本指标</w:t>
      </w:r>
    </w:p>
    <w:p>
      <w:pPr>
        <w:pStyle w:val="6"/>
        <w:ind w:firstLine="560"/>
        <w:rPr>
          <w:rFonts w:ascii="仿宋_GB2312" w:hAnsi="仿宋_GB2312" w:cs="仿宋_GB2312"/>
          <w:szCs w:val="28"/>
        </w:rPr>
      </w:pPr>
      <w:r>
        <w:rPr>
          <w:rFonts w:hint="eastAsia" w:hAnsi="Times New Roman" w:cs="仿宋_GB2312"/>
          <w:b w:val="0"/>
          <w:bCs w:val="0"/>
          <w:kern w:val="2"/>
          <w:szCs w:val="28"/>
        </w:rPr>
        <w:t>本项目无该指标</w:t>
      </w:r>
      <w:r>
        <w:rPr>
          <w:rFonts w:hint="eastAsia" w:hAnsi="Times New Roman" w:cs="仿宋_GB2312"/>
          <w:b w:val="0"/>
          <w:bCs w:val="0"/>
          <w:kern w:val="2"/>
          <w:szCs w:val="28"/>
          <w:lang w:eastAsia="zh-CN"/>
        </w:rPr>
        <w:t>。</w:t>
      </w:r>
      <w:r>
        <w:rPr>
          <w:rFonts w:hint="eastAsia" w:ascii="仿宋_GB2312" w:hAnsi="仿宋_GB2312" w:cs="仿宋_GB2312"/>
          <w:szCs w:val="28"/>
        </w:rPr>
        <w:t xml:space="preserve">               </w:t>
      </w:r>
    </w:p>
    <w:p>
      <w:pPr>
        <w:numPr>
          <w:ilvl w:val="0"/>
          <w:numId w:val="0"/>
        </w:numPr>
        <w:ind w:firstLine="643" w:firstLineChars="200"/>
        <w:rPr>
          <w:rFonts w:hint="eastAsia" w:ascii="仿宋_GB2312" w:hAnsi="仿宋_GB2312" w:eastAsia="仿宋_GB2312" w:cs="仿宋_GB2312"/>
          <w:b/>
          <w:bCs/>
          <w:kern w:val="0"/>
          <w:sz w:val="32"/>
          <w:szCs w:val="32"/>
          <w:lang w:val="en-US" w:eastAsia="zh-CN" w:bidi="ar-SA"/>
        </w:rPr>
      </w:pPr>
      <w:r>
        <w:rPr>
          <w:rFonts w:hint="eastAsia" w:ascii="仿宋_GB2312" w:hAnsi="仿宋_GB2312" w:eastAsia="仿宋_GB2312" w:cs="仿宋_GB2312"/>
          <w:b/>
          <w:bCs/>
          <w:kern w:val="0"/>
          <w:sz w:val="32"/>
          <w:szCs w:val="32"/>
          <w:lang w:val="en-US" w:eastAsia="zh-CN" w:bidi="ar-SA"/>
        </w:rPr>
        <w:t>（五）项目效益情况</w:t>
      </w:r>
    </w:p>
    <w:p>
      <w:pPr>
        <w:ind w:firstLine="560"/>
        <w:rPr>
          <w:rFonts w:ascii="仿宋_GB2312" w:cs="仿宋_GB2312"/>
          <w:szCs w:val="28"/>
        </w:rPr>
      </w:pPr>
      <w:r>
        <w:rPr>
          <w:rFonts w:hint="eastAsia"/>
        </w:rPr>
        <w:t>项目效益类指标由</w:t>
      </w:r>
      <w:r>
        <w:rPr>
          <w:rFonts w:hint="eastAsia" w:ascii="仿宋_GB2312" w:cs="仿宋_GB2312"/>
          <w:szCs w:val="28"/>
          <w:lang w:val="en-US" w:eastAsia="zh-CN"/>
        </w:rPr>
        <w:t>2</w:t>
      </w:r>
      <w:r>
        <w:rPr>
          <w:rFonts w:hint="eastAsia"/>
        </w:rPr>
        <w:t>个二级指标和</w:t>
      </w:r>
      <w:r>
        <w:rPr>
          <w:rFonts w:hint="eastAsia" w:ascii="仿宋_GB2312" w:cs="仿宋_GB2312"/>
          <w:szCs w:val="28"/>
          <w:lang w:val="en-US" w:eastAsia="zh-CN"/>
        </w:rPr>
        <w:t>2</w:t>
      </w:r>
      <w:r>
        <w:rPr>
          <w:rFonts w:hint="eastAsia"/>
        </w:rPr>
        <w:t>个三级指标构成</w:t>
      </w:r>
      <w:r>
        <w:rPr>
          <w:rFonts w:hint="eastAsia" w:ascii="仿宋_GB2312" w:cs="仿宋_GB2312"/>
          <w:szCs w:val="28"/>
        </w:rPr>
        <w:t>，权重分为</w:t>
      </w:r>
      <w:r>
        <w:rPr>
          <w:rFonts w:hint="eastAsia" w:ascii="仿宋_GB2312" w:cs="仿宋_GB2312"/>
          <w:szCs w:val="28"/>
          <w:lang w:val="en-US" w:eastAsia="zh-CN"/>
        </w:rPr>
        <w:t>24</w:t>
      </w:r>
      <w:r>
        <w:rPr>
          <w:rFonts w:hint="eastAsia" w:ascii="仿宋_GB2312" w:cs="仿宋_GB2312"/>
          <w:szCs w:val="28"/>
        </w:rPr>
        <w:t>分，实际得分</w:t>
      </w:r>
      <w:r>
        <w:rPr>
          <w:rFonts w:hint="eastAsia" w:ascii="仿宋_GB2312" w:cs="仿宋_GB2312"/>
          <w:szCs w:val="28"/>
          <w:lang w:val="en-US" w:eastAsia="zh-CN"/>
        </w:rPr>
        <w:t>23.64</w:t>
      </w:r>
      <w:r>
        <w:rPr>
          <w:rFonts w:hint="eastAsia" w:ascii="仿宋_GB2312" w:cs="仿宋_GB2312"/>
          <w:szCs w:val="28"/>
        </w:rPr>
        <w:t>分，得分率为</w:t>
      </w:r>
      <w:r>
        <w:rPr>
          <w:rFonts w:hint="eastAsia" w:ascii="仿宋_GB2312" w:cs="仿宋_GB2312"/>
          <w:szCs w:val="28"/>
          <w:lang w:val="en-US" w:eastAsia="zh-CN"/>
        </w:rPr>
        <w:t>98.5</w:t>
      </w:r>
      <w:r>
        <w:rPr>
          <w:rFonts w:hint="eastAsia" w:ascii="仿宋_GB2312" w:cs="仿宋_GB2312"/>
          <w:szCs w:val="28"/>
        </w:rPr>
        <w:t>%。</w:t>
      </w:r>
    </w:p>
    <w:p>
      <w:pPr>
        <w:pStyle w:val="6"/>
        <w:ind w:firstLine="560"/>
        <w:rPr>
          <w:rFonts w:cs="仿宋_GB2312"/>
          <w:szCs w:val="28"/>
        </w:rPr>
      </w:pPr>
      <w:r>
        <w:rPr>
          <w:rFonts w:hint="eastAsia" w:cs="仿宋_GB2312"/>
          <w:szCs w:val="28"/>
        </w:rPr>
        <w:t>1.经济</w:t>
      </w:r>
      <w:r>
        <w:rPr>
          <w:rFonts w:hint="eastAsia"/>
          <w:szCs w:val="28"/>
        </w:rPr>
        <w:t>效益</w:t>
      </w:r>
      <w:r>
        <w:rPr>
          <w:rFonts w:hint="eastAsia" w:cs="仿宋_GB2312"/>
          <w:szCs w:val="28"/>
        </w:rPr>
        <w:t>指标完成情况分析</w:t>
      </w:r>
    </w:p>
    <w:p>
      <w:pPr>
        <w:pStyle w:val="6"/>
        <w:ind w:firstLine="560"/>
      </w:pPr>
      <w:r>
        <w:rPr>
          <w:rFonts w:hint="eastAsia" w:hAnsi="Times New Roman" w:cs="仿宋_GB2312"/>
          <w:b w:val="0"/>
          <w:bCs w:val="0"/>
          <w:kern w:val="2"/>
          <w:szCs w:val="28"/>
        </w:rPr>
        <w:t>本项目无该指标</w:t>
      </w:r>
    </w:p>
    <w:p>
      <w:pPr>
        <w:pStyle w:val="6"/>
        <w:ind w:firstLine="560"/>
        <w:rPr>
          <w:rFonts w:cs="仿宋_GB2312"/>
          <w:szCs w:val="28"/>
        </w:rPr>
      </w:pPr>
      <w:r>
        <w:rPr>
          <w:rFonts w:hint="eastAsia" w:cs="仿宋_GB2312"/>
          <w:szCs w:val="28"/>
        </w:rPr>
        <w:t>2.社会效益指标完成情况分析</w:t>
      </w:r>
    </w:p>
    <w:p>
      <w:pPr>
        <w:ind w:firstLine="560"/>
      </w:pPr>
      <w:r>
        <w:rPr>
          <w:rFonts w:hint="eastAsia"/>
        </w:rPr>
        <w:t>“改善城市公共基础设施建设运行水平”指标，预期指标值为持续改善</w:t>
      </w:r>
      <w:r>
        <w:rPr>
          <w:rFonts w:hint="eastAsia"/>
          <w:lang w:eastAsia="zh-CN"/>
        </w:rPr>
        <w:t>，</w:t>
      </w:r>
      <w:r>
        <w:rPr>
          <w:rFonts w:hint="eastAsia" w:ascii="仿宋_GB2312" w:hAnsi="仿宋_GB2312" w:cs="仿宋_GB2312"/>
          <w:szCs w:val="28"/>
        </w:rPr>
        <w:t>实际完成指标值为达成</w:t>
      </w:r>
      <w:r>
        <w:rPr>
          <w:rFonts w:hint="eastAsia" w:ascii="仿宋_GB2312" w:hAnsi="仿宋_GB2312" w:cs="仿宋_GB2312"/>
          <w:szCs w:val="28"/>
          <w:lang w:eastAsia="zh-CN"/>
        </w:rPr>
        <w:t>年度指标</w:t>
      </w:r>
      <w:r>
        <w:rPr>
          <w:rFonts w:hint="eastAsia" w:ascii="仿宋_GB2312" w:hAnsi="仿宋_GB2312" w:cs="仿宋_GB2312"/>
          <w:szCs w:val="28"/>
        </w:rPr>
        <w:t>，指标完成率为100%。</w:t>
      </w:r>
      <w:r>
        <w:rPr>
          <w:rFonts w:hint="eastAsia" w:ascii="仿宋_GB2312" w:cs="仿宋_GB2312"/>
          <w:szCs w:val="28"/>
        </w:rPr>
        <w:t>本指标满分为</w:t>
      </w:r>
      <w:r>
        <w:rPr>
          <w:rFonts w:hint="eastAsia" w:ascii="仿宋_GB2312" w:cs="仿宋_GB2312"/>
          <w:szCs w:val="28"/>
          <w:lang w:val="en-US" w:eastAsia="zh-CN"/>
        </w:rPr>
        <w:t>8</w:t>
      </w:r>
      <w:r>
        <w:rPr>
          <w:rFonts w:hint="eastAsia" w:ascii="仿宋_GB2312" w:cs="仿宋_GB2312"/>
          <w:szCs w:val="28"/>
        </w:rPr>
        <w:t>分，</w:t>
      </w:r>
      <w:r>
        <w:rPr>
          <w:rFonts w:hint="eastAsia" w:ascii="仿宋_GB2312" w:hAnsi="仿宋_GB2312" w:cs="仿宋_GB2312"/>
          <w:szCs w:val="28"/>
        </w:rPr>
        <w:t>根据评分标准，该指标得</w:t>
      </w:r>
      <w:r>
        <w:rPr>
          <w:rFonts w:hint="eastAsia" w:ascii="仿宋_GB2312" w:cs="仿宋_GB2312"/>
          <w:szCs w:val="28"/>
          <w:lang w:val="en-US" w:eastAsia="zh-CN"/>
        </w:rPr>
        <w:t>8</w:t>
      </w:r>
      <w:r>
        <w:rPr>
          <w:rFonts w:hint="eastAsia" w:ascii="仿宋_GB2312" w:hAnsi="仿宋_GB2312" w:cs="仿宋_GB2312"/>
          <w:szCs w:val="28"/>
        </w:rPr>
        <w:t>分。</w:t>
      </w:r>
    </w:p>
    <w:p>
      <w:pPr>
        <w:pStyle w:val="6"/>
        <w:ind w:firstLine="560"/>
      </w:pPr>
      <w:r>
        <w:rPr>
          <w:rFonts w:hint="eastAsia"/>
        </w:rPr>
        <w:t>3.生态效益指标完成情况分析</w:t>
      </w:r>
    </w:p>
    <w:p>
      <w:pPr>
        <w:ind w:firstLine="560"/>
      </w:pPr>
      <w:r>
        <w:rPr>
          <w:rFonts w:hint="eastAsia"/>
        </w:rPr>
        <w:t>“城区绿化覆盖率”指标，预期指标值为</w:t>
      </w:r>
      <w:r>
        <w:rPr>
          <w:rFonts w:hint="eastAsia"/>
          <w:lang w:eastAsia="zh-CN"/>
        </w:rPr>
        <w:t>大于等于</w:t>
      </w:r>
      <w:r>
        <w:rPr>
          <w:rFonts w:hint="eastAsia"/>
        </w:rPr>
        <w:t>43.37%</w:t>
      </w:r>
      <w:r>
        <w:rPr>
          <w:rFonts w:hint="eastAsia"/>
          <w:lang w:eastAsia="zh-CN"/>
        </w:rPr>
        <w:t>，</w:t>
      </w:r>
      <w:r>
        <w:rPr>
          <w:rFonts w:hint="eastAsia" w:ascii="仿宋_GB2312" w:hAnsi="仿宋_GB2312" w:cs="仿宋_GB2312"/>
          <w:szCs w:val="28"/>
        </w:rPr>
        <w:t>实际完成指标值为</w:t>
      </w:r>
      <w:r>
        <w:rPr>
          <w:rFonts w:hint="eastAsia"/>
        </w:rPr>
        <w:t>43.37%</w:t>
      </w:r>
      <w:r>
        <w:rPr>
          <w:rFonts w:hint="eastAsia" w:ascii="仿宋_GB2312" w:hAnsi="仿宋_GB2312" w:cs="仿宋_GB2312"/>
          <w:szCs w:val="28"/>
        </w:rPr>
        <w:t>，指标完成率为100%。</w:t>
      </w:r>
      <w:r>
        <w:rPr>
          <w:rFonts w:hint="eastAsia" w:ascii="仿宋_GB2312" w:cs="仿宋_GB2312"/>
          <w:szCs w:val="28"/>
        </w:rPr>
        <w:t>本指标满分为</w:t>
      </w:r>
      <w:r>
        <w:rPr>
          <w:rFonts w:hint="eastAsia" w:ascii="仿宋_GB2312" w:cs="仿宋_GB2312"/>
          <w:szCs w:val="28"/>
          <w:lang w:val="en-US" w:eastAsia="zh-CN"/>
        </w:rPr>
        <w:t>8</w:t>
      </w:r>
      <w:r>
        <w:rPr>
          <w:rFonts w:hint="eastAsia" w:ascii="仿宋_GB2312" w:cs="仿宋_GB2312"/>
          <w:szCs w:val="28"/>
        </w:rPr>
        <w:t>分，</w:t>
      </w:r>
      <w:r>
        <w:rPr>
          <w:rFonts w:hint="eastAsia" w:ascii="仿宋_GB2312" w:hAnsi="仿宋_GB2312" w:cs="仿宋_GB2312"/>
          <w:szCs w:val="28"/>
        </w:rPr>
        <w:t>根据评分标准，该指标得</w:t>
      </w:r>
      <w:r>
        <w:rPr>
          <w:rFonts w:hint="eastAsia" w:ascii="仿宋_GB2312" w:cs="仿宋_GB2312"/>
          <w:szCs w:val="28"/>
          <w:lang w:val="en-US" w:eastAsia="zh-CN"/>
        </w:rPr>
        <w:t>8</w:t>
      </w:r>
      <w:r>
        <w:rPr>
          <w:rFonts w:hint="eastAsia" w:ascii="仿宋_GB2312" w:hAnsi="仿宋_GB2312" w:cs="仿宋_GB2312"/>
          <w:szCs w:val="28"/>
        </w:rPr>
        <w:t>分。</w:t>
      </w:r>
    </w:p>
    <w:p>
      <w:pPr>
        <w:pStyle w:val="6"/>
        <w:ind w:firstLine="560"/>
      </w:pPr>
      <w:r>
        <w:rPr>
          <w:rFonts w:hint="eastAsia"/>
          <w:lang w:val="en-US" w:eastAsia="zh-CN"/>
        </w:rPr>
        <w:t>4</w:t>
      </w:r>
      <w:r>
        <w:rPr>
          <w:rFonts w:hint="eastAsia"/>
        </w:rPr>
        <w:t>.满意度指标完成情况分析</w:t>
      </w:r>
    </w:p>
    <w:p>
      <w:pPr>
        <w:ind w:firstLine="560"/>
        <w:rPr>
          <w:rFonts w:ascii="仿宋" w:hAnsi="仿宋" w:eastAsia="仿宋"/>
          <w:b/>
        </w:rPr>
      </w:pPr>
      <w:r>
        <w:rPr>
          <w:rFonts w:hint="eastAsia" w:ascii="Times New Roman" w:hAnsi="Times New Roman" w:cs="Times New Roman"/>
        </w:rPr>
        <w:t>“城区居民对我县公共设施运行满意</w:t>
      </w:r>
      <w:r>
        <w:rPr>
          <w:rFonts w:hint="eastAsia" w:ascii="Times New Roman" w:hAnsi="Times New Roman" w:cs="Times New Roman"/>
          <w:lang w:eastAsia="zh-CN"/>
        </w:rPr>
        <w:t>度</w:t>
      </w:r>
      <w:r>
        <w:rPr>
          <w:rFonts w:hint="eastAsia" w:ascii="Times New Roman" w:hAnsi="Times New Roman" w:cs="Times New Roman"/>
        </w:rPr>
        <w:t>”指标，预期指标值为</w:t>
      </w:r>
      <w:r>
        <w:rPr>
          <w:rFonts w:hint="eastAsia" w:ascii="Times New Roman" w:hAnsi="Times New Roman" w:cs="Times New Roman"/>
          <w:lang w:eastAsia="zh-CN"/>
        </w:rPr>
        <w:t>大于等于</w:t>
      </w:r>
      <w:r>
        <w:rPr>
          <w:rFonts w:hint="eastAsia" w:ascii="Times New Roman" w:hAnsi="Times New Roman" w:cs="Times New Roman"/>
        </w:rPr>
        <w:t>95%。实际完成指标值为</w:t>
      </w:r>
      <w:r>
        <w:rPr>
          <w:rFonts w:hint="eastAsia" w:ascii="Times New Roman" w:hAnsi="Times New Roman" w:cs="Times New Roman"/>
          <w:lang w:val="en-US" w:eastAsia="zh-CN"/>
        </w:rPr>
        <w:t>90.71</w:t>
      </w:r>
      <w:r>
        <w:rPr>
          <w:rFonts w:hint="eastAsia" w:ascii="Times New Roman" w:hAnsi="Times New Roman" w:cs="Times New Roman"/>
        </w:rPr>
        <w:t>%，指标完成率为</w:t>
      </w:r>
      <w:r>
        <w:rPr>
          <w:rFonts w:hint="eastAsia" w:ascii="Times New Roman" w:hAnsi="Times New Roman" w:cs="Times New Roman"/>
          <w:lang w:val="en-US" w:eastAsia="zh-CN"/>
        </w:rPr>
        <w:t>95.48</w:t>
      </w:r>
      <w:r>
        <w:rPr>
          <w:rFonts w:hint="eastAsia" w:ascii="Times New Roman" w:hAnsi="Times New Roman" w:cs="Times New Roman"/>
        </w:rPr>
        <w:t>%。</w:t>
      </w:r>
      <w:r>
        <w:rPr>
          <w:rFonts w:hint="eastAsia" w:ascii="Times New Roman" w:hAnsi="Times New Roman" w:cs="Times New Roman"/>
          <w:lang w:eastAsia="zh-CN"/>
        </w:rPr>
        <w:t>主要原因是：</w:t>
      </w:r>
      <w:r>
        <w:rPr>
          <w:rFonts w:hint="eastAsia" w:ascii="Times New Roman" w:hAnsi="Times New Roman" w:cs="Times New Roman"/>
        </w:rPr>
        <w:t>据满意度调查反映，城区居民对</w:t>
      </w:r>
      <w:r>
        <w:rPr>
          <w:rFonts w:hint="eastAsia" w:ascii="Times New Roman" w:hAnsi="Times New Roman" w:cs="Times New Roman"/>
          <w:lang w:eastAsia="zh-CN"/>
        </w:rPr>
        <w:t>城区的公共设施</w:t>
      </w:r>
      <w:r>
        <w:rPr>
          <w:rFonts w:hint="eastAsia" w:ascii="Times New Roman" w:hAnsi="Times New Roman" w:cs="Times New Roman"/>
        </w:rPr>
        <w:t>的</w:t>
      </w:r>
      <w:r>
        <w:rPr>
          <w:rFonts w:hint="eastAsia" w:ascii="Times New Roman" w:hAnsi="Times New Roman" w:cs="Times New Roman"/>
          <w:lang w:eastAsia="zh-CN"/>
        </w:rPr>
        <w:t>便利性和全面性方面满意度较</w:t>
      </w:r>
      <w:r>
        <w:rPr>
          <w:rFonts w:hint="eastAsia" w:ascii="Times New Roman" w:hAnsi="Times New Roman" w:cs="Times New Roman"/>
        </w:rPr>
        <w:t>低</w:t>
      </w:r>
      <w:r>
        <w:rPr>
          <w:rFonts w:hint="eastAsia" w:ascii="Times New Roman" w:hAnsi="Times New Roman" w:cs="Times New Roman"/>
          <w:lang w:eastAsia="zh-CN"/>
        </w:rPr>
        <w:t>；</w:t>
      </w:r>
      <w:r>
        <w:rPr>
          <w:rFonts w:hint="eastAsia" w:ascii="Times New Roman" w:hAnsi="Times New Roman" w:cs="Times New Roman"/>
        </w:rPr>
        <w:t>本指标满分为</w:t>
      </w:r>
      <w:r>
        <w:rPr>
          <w:rFonts w:hint="eastAsia" w:ascii="Times New Roman" w:hAnsi="Times New Roman" w:cs="Times New Roman"/>
          <w:lang w:val="en-US" w:eastAsia="zh-CN"/>
        </w:rPr>
        <w:t>8</w:t>
      </w:r>
      <w:r>
        <w:rPr>
          <w:rFonts w:hint="eastAsia" w:ascii="Times New Roman" w:hAnsi="Times New Roman" w:cs="Times New Roman"/>
        </w:rPr>
        <w:t>分，根该指标</w:t>
      </w:r>
      <w:r>
        <w:rPr>
          <w:rFonts w:hint="eastAsia" w:ascii="仿宋_GB2312" w:cs="仿宋_GB2312"/>
          <w:szCs w:val="28"/>
        </w:rPr>
        <w:t>可得分</w:t>
      </w:r>
      <w:r>
        <w:rPr>
          <w:rFonts w:hint="eastAsia" w:ascii="仿宋_GB2312" w:cs="仿宋_GB2312"/>
          <w:szCs w:val="28"/>
          <w:lang w:val="en-US" w:eastAsia="zh-CN"/>
        </w:rPr>
        <w:t>7.64</w:t>
      </w:r>
      <w:r>
        <w:rPr>
          <w:rFonts w:hint="eastAsia" w:ascii="仿宋_GB2312" w:cs="仿宋_GB2312"/>
          <w:szCs w:val="28"/>
        </w:rPr>
        <w:t>分。</w:t>
      </w:r>
      <w:bookmarkEnd w:id="15"/>
    </w:p>
    <w:p>
      <w:pPr>
        <w:pStyle w:val="4"/>
        <w:ind w:firstLine="640"/>
        <w:rPr>
          <w:rFonts w:hint="eastAsia"/>
          <w:lang w:eastAsia="zh-CN"/>
        </w:rPr>
      </w:pPr>
      <w:r>
        <w:rPr>
          <w:rFonts w:hint="eastAsia"/>
          <w:lang w:eastAsia="zh-CN"/>
        </w:rPr>
        <w:t xml:space="preserve"> 五、预算执行进度与绩效指标偏差</w:t>
      </w:r>
    </w:p>
    <w:p>
      <w:pPr>
        <w:ind w:firstLine="560"/>
        <w:rPr>
          <w:rFonts w:hint="eastAsia" w:ascii="Times New Roman" w:hAnsi="Times New Roman" w:cs="Times New Roman"/>
        </w:rPr>
      </w:pPr>
      <w:r>
        <w:rPr>
          <w:rFonts w:hint="eastAsia" w:ascii="Times New Roman" w:hAnsi="Times New Roman" w:cs="Times New Roman"/>
        </w:rPr>
        <w:t>该项目全年预算资金</w:t>
      </w:r>
      <w:r>
        <w:rPr>
          <w:rFonts w:hint="eastAsia" w:ascii="Times New Roman" w:hAnsi="Times New Roman" w:cs="Times New Roman"/>
          <w:lang w:val="en-US" w:eastAsia="zh-CN"/>
        </w:rPr>
        <w:t>2700</w:t>
      </w:r>
      <w:r>
        <w:rPr>
          <w:rFonts w:hint="eastAsia" w:ascii="Times New Roman" w:hAnsi="Times New Roman" w:cs="Times New Roman"/>
        </w:rPr>
        <w:t>万元，到位资金</w:t>
      </w:r>
      <w:r>
        <w:rPr>
          <w:rFonts w:hint="eastAsia" w:ascii="Times New Roman" w:hAnsi="Times New Roman" w:cs="Times New Roman"/>
          <w:lang w:val="en-US" w:eastAsia="zh-CN"/>
        </w:rPr>
        <w:t>2700</w:t>
      </w:r>
      <w:r>
        <w:rPr>
          <w:rFonts w:hint="eastAsia" w:ascii="Times New Roman" w:hAnsi="Times New Roman" w:cs="Times New Roman"/>
        </w:rPr>
        <w:t>万元，实际支出</w:t>
      </w:r>
      <w:r>
        <w:rPr>
          <w:rFonts w:hint="eastAsia" w:ascii="Times New Roman" w:hAnsi="Times New Roman" w:cs="Times New Roman"/>
          <w:lang w:val="en-US" w:eastAsia="zh-CN"/>
        </w:rPr>
        <w:t>2700</w:t>
      </w:r>
      <w:r>
        <w:rPr>
          <w:rFonts w:hint="eastAsia" w:ascii="Times New Roman" w:hAnsi="Times New Roman" w:cs="Times New Roman"/>
        </w:rPr>
        <w:t>万元，预算执行率为</w:t>
      </w:r>
      <w:r>
        <w:rPr>
          <w:rFonts w:hint="eastAsia" w:ascii="Times New Roman" w:hAnsi="Times New Roman" w:cs="Times New Roman"/>
          <w:lang w:val="en-US" w:eastAsia="zh-CN"/>
        </w:rPr>
        <w:t>100</w:t>
      </w:r>
      <w:r>
        <w:rPr>
          <w:rFonts w:hint="eastAsia" w:ascii="Times New Roman" w:hAnsi="Times New Roman" w:cs="Times New Roman"/>
        </w:rPr>
        <w:t>%，项目绩效指标总体完成率为</w:t>
      </w:r>
      <w:r>
        <w:rPr>
          <w:rFonts w:hint="eastAsia" w:ascii="Times New Roman" w:hAnsi="Times New Roman" w:cs="Times New Roman"/>
          <w:lang w:val="en-US" w:eastAsia="zh-CN"/>
        </w:rPr>
        <w:t>92.5</w:t>
      </w:r>
      <w:r>
        <w:rPr>
          <w:rFonts w:hint="eastAsia" w:ascii="Times New Roman" w:hAnsi="Times New Roman" w:cs="Times New Roman"/>
        </w:rPr>
        <w:t>%，项目预算执行进度与绩效指标完成进度偏差</w:t>
      </w:r>
      <w:r>
        <w:rPr>
          <w:rFonts w:hint="eastAsia" w:ascii="Times New Roman" w:hAnsi="Times New Roman" w:cs="Times New Roman"/>
          <w:lang w:val="en-US" w:eastAsia="zh-CN"/>
        </w:rPr>
        <w:t>7.5%</w:t>
      </w:r>
      <w:r>
        <w:rPr>
          <w:rFonts w:hint="eastAsia" w:ascii="Times New Roman" w:hAnsi="Times New Roman" w:cs="Times New Roman"/>
        </w:rPr>
        <w:t>。</w:t>
      </w:r>
    </w:p>
    <w:p>
      <w:pPr>
        <w:pStyle w:val="4"/>
        <w:ind w:left="638" w:leftChars="228" w:firstLine="0" w:firstLineChars="0"/>
        <w:jc w:val="left"/>
        <w:rPr>
          <w:rFonts w:hint="eastAsia"/>
        </w:rPr>
      </w:pPr>
      <w:r>
        <w:rPr>
          <w:rFonts w:hint="eastAsia"/>
          <w:lang w:eastAsia="zh-CN"/>
        </w:rPr>
        <w:t>六、主要经验及做法、存在的问题及原因分析</w:t>
      </w:r>
    </w:p>
    <w:p>
      <w:pPr>
        <w:pStyle w:val="5"/>
        <w:numPr>
          <w:ilvl w:val="0"/>
          <w:numId w:val="5"/>
        </w:numPr>
        <w:ind w:firstLine="643"/>
      </w:pPr>
      <w:bookmarkStart w:id="16" w:name="_Toc28290"/>
      <w:bookmarkStart w:id="17" w:name="_Toc1921"/>
      <w:r>
        <w:rPr>
          <w:rFonts w:hint="eastAsia"/>
        </w:rPr>
        <w:t>主要经验及做法</w:t>
      </w:r>
    </w:p>
    <w:bookmarkEnd w:id="16"/>
    <w:bookmarkEnd w:id="17"/>
    <w:p>
      <w:pPr>
        <w:numPr>
          <w:ilvl w:val="0"/>
          <w:numId w:val="6"/>
        </w:numPr>
        <w:ind w:firstLine="560"/>
        <w:rPr>
          <w:rFonts w:hint="eastAsia" w:ascii="Times New Roman" w:hAnsi="Times New Roman" w:cs="Times New Roman"/>
          <w:highlight w:val="none"/>
        </w:rPr>
      </w:pPr>
      <w:r>
        <w:rPr>
          <w:rFonts w:hint="eastAsia" w:ascii="Times New Roman" w:hAnsi="Times New Roman" w:cs="Times New Roman"/>
          <w:highlight w:val="none"/>
          <w:lang w:eastAsia="zh-CN"/>
        </w:rPr>
        <w:t>该项目的开展</w:t>
      </w:r>
      <w:r>
        <w:rPr>
          <w:rFonts w:hint="eastAsia" w:ascii="Times New Roman" w:hAnsi="Times New Roman" w:cs="Times New Roman"/>
          <w:highlight w:val="none"/>
        </w:rPr>
        <w:t>保障县城所有道路照明路灯正常照明，开展对市政零星修复工程、路面维修等城市公共基础设施维护，</w:t>
      </w:r>
      <w:r>
        <w:rPr>
          <w:rFonts w:hint="eastAsia" w:ascii="Times New Roman" w:hAnsi="Times New Roman" w:cs="Times New Roman"/>
          <w:highlight w:val="none"/>
          <w:lang w:eastAsia="zh-CN"/>
        </w:rPr>
        <w:t>使全县公共基础设施建设进一步加快，</w:t>
      </w:r>
      <w:r>
        <w:rPr>
          <w:rFonts w:hint="eastAsia" w:ascii="Times New Roman" w:hAnsi="Times New Roman" w:cs="Times New Roman"/>
          <w:highlight w:val="none"/>
        </w:rPr>
        <w:t>保障全县城市公共设施正常运行</w:t>
      </w:r>
      <w:r>
        <w:rPr>
          <w:rFonts w:hint="eastAsia" w:ascii="Times New Roman" w:hAnsi="Times New Roman" w:cs="Times New Roman"/>
          <w:highlight w:val="none"/>
          <w:lang w:eastAsia="zh-CN"/>
        </w:rPr>
        <w:t>和城市的健康发展，为县域经济高质量发展提供基本条件</w:t>
      </w:r>
      <w:r>
        <w:rPr>
          <w:rFonts w:hint="eastAsia" w:ascii="Times New Roman" w:hAnsi="Times New Roman" w:cs="Times New Roman"/>
          <w:highlight w:val="none"/>
        </w:rPr>
        <w:t>；</w:t>
      </w:r>
    </w:p>
    <w:p>
      <w:pPr>
        <w:numPr>
          <w:ilvl w:val="0"/>
          <w:numId w:val="6"/>
        </w:numPr>
        <w:ind w:left="0" w:leftChars="0" w:firstLine="560" w:firstLineChars="200"/>
        <w:rPr>
          <w:rFonts w:hint="eastAsia" w:ascii="Times New Roman" w:hAnsi="Times New Roman" w:cs="Times New Roman"/>
          <w:highlight w:val="none"/>
          <w:lang w:eastAsia="zh-CN"/>
        </w:rPr>
      </w:pPr>
      <w:r>
        <w:rPr>
          <w:rFonts w:hint="eastAsia" w:ascii="Times New Roman" w:hAnsi="Times New Roman" w:cs="Times New Roman"/>
          <w:highlight w:val="none"/>
          <w:lang w:eastAsia="zh-CN"/>
        </w:rPr>
        <w:t>进行春季和秋季绿化补植</w:t>
      </w:r>
      <w:r>
        <w:rPr>
          <w:rFonts w:hint="eastAsia" w:ascii="Times New Roman" w:hAnsi="Times New Roman" w:cs="Times New Roman"/>
          <w:highlight w:val="none"/>
          <w:lang w:val="en-US" w:eastAsia="zh-CN"/>
        </w:rPr>
        <w:t>工作，</w:t>
      </w:r>
      <w:r>
        <w:rPr>
          <w:rFonts w:hint="eastAsia" w:ascii="Times New Roman" w:hAnsi="Times New Roman" w:cs="Times New Roman"/>
          <w:highlight w:val="none"/>
        </w:rPr>
        <w:t>提高</w:t>
      </w:r>
      <w:r>
        <w:rPr>
          <w:rFonts w:hint="eastAsia" w:ascii="Times New Roman" w:hAnsi="Times New Roman" w:cs="Times New Roman"/>
          <w:highlight w:val="none"/>
          <w:lang w:val="en-US" w:eastAsia="zh-CN"/>
        </w:rPr>
        <w:t>了</w:t>
      </w:r>
      <w:r>
        <w:rPr>
          <w:rFonts w:hint="eastAsia" w:ascii="Times New Roman" w:hAnsi="Times New Roman" w:cs="Times New Roman"/>
          <w:highlight w:val="none"/>
        </w:rPr>
        <w:t>城区绿化覆盖率，</w:t>
      </w:r>
      <w:r>
        <w:rPr>
          <w:rFonts w:hint="eastAsia" w:ascii="Times New Roman" w:hAnsi="Times New Roman" w:cs="Times New Roman"/>
          <w:highlight w:val="none"/>
          <w:lang w:eastAsia="zh-CN"/>
        </w:rPr>
        <w:t>成功创建</w:t>
      </w:r>
      <w:r>
        <w:rPr>
          <w:rFonts w:hint="eastAsia" w:ascii="Times New Roman" w:hAnsi="Times New Roman" w:cs="Times New Roman"/>
          <w:highlight w:val="none"/>
          <w:lang w:val="en-US" w:eastAsia="zh-CN"/>
        </w:rPr>
        <w:t>了</w:t>
      </w:r>
      <w:r>
        <w:rPr>
          <w:rFonts w:hint="eastAsia" w:ascii="Times New Roman" w:hAnsi="Times New Roman" w:cs="Times New Roman"/>
          <w:highlight w:val="none"/>
          <w:lang w:eastAsia="zh-CN"/>
        </w:rPr>
        <w:t>国家园林城市；</w:t>
      </w:r>
    </w:p>
    <w:p>
      <w:pPr>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textAlignment w:val="auto"/>
        <w:rPr>
          <w:rFonts w:hint="eastAsia" w:ascii="Times New Roman" w:hAnsi="Times New Roman" w:cs="Times New Roman"/>
          <w:highlight w:val="yellow"/>
        </w:rPr>
      </w:pPr>
      <w:r>
        <w:rPr>
          <w:rFonts w:hint="eastAsia" w:ascii="Times New Roman" w:hAnsi="Times New Roman" w:cs="Times New Roman"/>
          <w:highlight w:val="none"/>
          <w:lang w:val="en-US" w:eastAsia="zh-CN"/>
        </w:rPr>
        <w:t>3、</w:t>
      </w:r>
      <w:r>
        <w:rPr>
          <w:rFonts w:hint="eastAsia" w:ascii="Times New Roman" w:hAnsi="Times New Roman" w:cs="Times New Roman"/>
          <w:highlight w:val="none"/>
        </w:rPr>
        <w:t>全年特种作业车辆正常运转，保障环卫、绿化用车油料费用及日常维修维护</w:t>
      </w:r>
      <w:r>
        <w:rPr>
          <w:rFonts w:hint="eastAsia" w:ascii="Times New Roman" w:hAnsi="Times New Roman" w:cs="Times New Roman"/>
          <w:highlight w:val="none"/>
          <w:lang w:eastAsia="zh-CN"/>
        </w:rPr>
        <w:t>是创建全国卫生城市的前提条件，</w:t>
      </w:r>
      <w:r>
        <w:rPr>
          <w:rFonts w:hint="eastAsia" w:ascii="Times New Roman" w:hAnsi="Times New Roman" w:cs="Times New Roman"/>
          <w:highlight w:val="none"/>
          <w:lang w:val="en-US" w:eastAsia="zh-CN"/>
        </w:rPr>
        <w:t>目前正在全力创建全国卫生城市</w:t>
      </w:r>
      <w:r>
        <w:rPr>
          <w:rFonts w:hint="eastAsia" w:ascii="Times New Roman" w:hAnsi="Times New Roman" w:cs="Times New Roman"/>
          <w:highlight w:val="none"/>
        </w:rPr>
        <w:t>。</w:t>
      </w:r>
    </w:p>
    <w:p>
      <w:pPr>
        <w:pStyle w:val="5"/>
        <w:numPr>
          <w:ilvl w:val="0"/>
          <w:numId w:val="5"/>
        </w:numPr>
        <w:ind w:firstLine="643"/>
      </w:pPr>
      <w:r>
        <w:rPr>
          <w:rFonts w:hint="eastAsia"/>
        </w:rPr>
        <w:t>存在的问题及原因分析</w:t>
      </w:r>
    </w:p>
    <w:p>
      <w:pPr>
        <w:pStyle w:val="4"/>
        <w:numPr>
          <w:ilvl w:val="0"/>
          <w:numId w:val="7"/>
        </w:numPr>
        <w:ind w:firstLine="640"/>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对项目实施绩效管理认识不到位，虽然树立了绩效理念，但是了解的还不够深入，未及时学习掌握每年的绩效新规定、新要求。</w:t>
      </w:r>
    </w:p>
    <w:p>
      <w:pPr>
        <w:numPr>
          <w:ilvl w:val="0"/>
          <w:numId w:val="7"/>
        </w:numPr>
        <w:ind w:left="0" w:leftChars="0" w:firstLine="560" w:firstLineChars="200"/>
        <w:rPr>
          <w:rFonts w:hint="eastAsia" w:ascii="仿宋_GB2312" w:hAnsi="仿宋_GB2312" w:cs="仿宋_GB2312"/>
          <w:b w:val="0"/>
          <w:sz w:val="28"/>
          <w:szCs w:val="28"/>
          <w:highlight w:val="none"/>
          <w:lang w:val="en-US" w:eastAsia="zh-CN"/>
        </w:rPr>
      </w:pPr>
      <w:r>
        <w:rPr>
          <w:rFonts w:hint="eastAsia" w:ascii="仿宋_GB2312" w:hAnsi="仿宋_GB2312" w:cs="仿宋_GB2312"/>
          <w:b w:val="0"/>
          <w:sz w:val="28"/>
          <w:szCs w:val="28"/>
          <w:highlight w:val="none"/>
          <w:lang w:val="en-US" w:eastAsia="zh-CN"/>
        </w:rPr>
        <w:t>资金分配不够合理，在</w:t>
      </w:r>
      <w:r>
        <w:rPr>
          <w:rFonts w:hint="eastAsia" w:ascii="仿宋_GB2312" w:cs="仿宋_GB2312"/>
          <w:szCs w:val="28"/>
          <w:highlight w:val="none"/>
        </w:rPr>
        <w:t>实际</w:t>
      </w:r>
      <w:r>
        <w:rPr>
          <w:rFonts w:hint="eastAsia" w:ascii="仿宋_GB2312" w:cs="仿宋_GB2312"/>
          <w:szCs w:val="28"/>
          <w:highlight w:val="none"/>
          <w:lang w:eastAsia="zh-CN"/>
        </w:rPr>
        <w:t>支付时，车辆油料费和城市照明设施运行电费分配资金较多，资金未使用完毕；</w:t>
      </w:r>
      <w:r>
        <w:rPr>
          <w:rFonts w:hint="eastAsia"/>
          <w:highlight w:val="none"/>
        </w:rPr>
        <w:t>市政工程修复资金</w:t>
      </w:r>
      <w:r>
        <w:rPr>
          <w:rFonts w:hint="eastAsia"/>
          <w:highlight w:val="none"/>
          <w:lang w:eastAsia="zh-CN"/>
        </w:rPr>
        <w:t>分配较少，实际支出超出目标值</w:t>
      </w:r>
      <w:r>
        <w:rPr>
          <w:rFonts w:hint="eastAsia" w:cs="仿宋_GB2312"/>
          <w:szCs w:val="28"/>
          <w:highlight w:val="none"/>
          <w:lang w:eastAsia="zh-CN"/>
        </w:rPr>
        <w:t>，</w:t>
      </w:r>
      <w:r>
        <w:rPr>
          <w:rFonts w:hint="eastAsia" w:cs="仿宋_GB2312"/>
          <w:szCs w:val="28"/>
          <w:highlight w:val="none"/>
          <w:lang w:val="en-US" w:eastAsia="zh-CN"/>
        </w:rPr>
        <w:t>项目资金分配不够合理，与实际工作不相适应</w:t>
      </w:r>
      <w:r>
        <w:rPr>
          <w:rFonts w:hint="eastAsia" w:ascii="仿宋_GB2312" w:hAnsi="仿宋_GB2312" w:cs="仿宋_GB2312"/>
          <w:szCs w:val="28"/>
          <w:highlight w:val="none"/>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textAlignment w:val="auto"/>
        <w:rPr>
          <w:rFonts w:hint="eastAsia" w:ascii="仿宋_GB2312" w:hAnsi="仿宋_GB2312" w:eastAsia="仿宋_GB2312" w:cs="仿宋_GB2312"/>
          <w:b w:val="0"/>
          <w:kern w:val="2"/>
          <w:sz w:val="28"/>
          <w:szCs w:val="28"/>
          <w:highlight w:val="none"/>
          <w:lang w:val="en-US" w:eastAsia="zh-CN" w:bidi="ar-SA"/>
        </w:rPr>
      </w:pPr>
      <w:r>
        <w:rPr>
          <w:rFonts w:hint="eastAsia" w:ascii="仿宋_GB2312" w:hAnsi="仿宋_GB2312" w:eastAsia="仿宋_GB2312" w:cs="仿宋_GB2312"/>
          <w:b w:val="0"/>
          <w:kern w:val="2"/>
          <w:sz w:val="28"/>
          <w:szCs w:val="28"/>
          <w:highlight w:val="none"/>
          <w:lang w:val="en-US" w:eastAsia="zh-CN" w:bidi="ar-SA"/>
        </w:rPr>
        <w:t>3、通过满意度调查，发现城区群众对城区的公共设施的便利性和全面性方面满意度较低</w:t>
      </w:r>
      <w:r>
        <w:rPr>
          <w:rFonts w:hint="eastAsia" w:ascii="仿宋_GB2312" w:hAnsi="仿宋_GB2312" w:cs="仿宋_GB2312"/>
          <w:b w:val="0"/>
          <w:kern w:val="2"/>
          <w:sz w:val="28"/>
          <w:szCs w:val="28"/>
          <w:highlight w:val="none"/>
          <w:lang w:val="en-US" w:eastAsia="zh-CN" w:bidi="ar-SA"/>
        </w:rPr>
        <w:t>，需要进一步加强</w:t>
      </w:r>
      <w:r>
        <w:rPr>
          <w:rFonts w:hint="eastAsia" w:ascii="仿宋_GB2312" w:hAnsi="仿宋_GB2312" w:eastAsia="仿宋_GB2312" w:cs="仿宋_GB2312"/>
          <w:b w:val="0"/>
          <w:kern w:val="2"/>
          <w:sz w:val="28"/>
          <w:szCs w:val="28"/>
          <w:highlight w:val="none"/>
          <w:lang w:val="en-US" w:eastAsia="zh-CN" w:bidi="ar-SA"/>
        </w:rPr>
        <w:t>。</w:t>
      </w:r>
    </w:p>
    <w:p>
      <w:pPr>
        <w:pStyle w:val="4"/>
        <w:ind w:left="638" w:leftChars="228" w:firstLine="0" w:firstLineChars="0"/>
        <w:jc w:val="left"/>
        <w:rPr>
          <w:rFonts w:hint="eastAsia"/>
          <w:lang w:eastAsia="zh-CN"/>
        </w:rPr>
      </w:pPr>
      <w:r>
        <w:rPr>
          <w:rFonts w:hint="eastAsia"/>
          <w:lang w:eastAsia="zh-CN"/>
        </w:rPr>
        <w:t>七、有关建议</w:t>
      </w:r>
    </w:p>
    <w:p>
      <w:pPr>
        <w:rPr>
          <w:rFonts w:hint="eastAsia" w:ascii="仿宋_GB2312" w:hAnsi="仿宋_GB2312" w:cs="仿宋_GB2312"/>
          <w:szCs w:val="28"/>
          <w:lang w:val="en-US" w:eastAsia="zh-CN"/>
        </w:rPr>
      </w:pPr>
      <w:r>
        <w:rPr>
          <w:rFonts w:hint="eastAsia" w:ascii="仿宋_GB2312" w:hAnsi="仿宋_GB2312" w:cs="仿宋_GB2312"/>
          <w:szCs w:val="28"/>
          <w:lang w:val="en-US" w:eastAsia="zh-CN"/>
        </w:rPr>
        <w:t>1、根据上年度支付情况以及当年的工作任务做好各项工作</w:t>
      </w:r>
      <w:r>
        <w:rPr>
          <w:rFonts w:hint="eastAsia" w:ascii="仿宋_GB2312" w:hAnsi="仿宋_GB2312" w:cs="仿宋_GB2312"/>
          <w:szCs w:val="28"/>
          <w:lang w:eastAsia="zh-CN"/>
        </w:rPr>
        <w:t>成本</w:t>
      </w:r>
      <w:r>
        <w:rPr>
          <w:rFonts w:hint="eastAsia" w:ascii="仿宋_GB2312" w:hAnsi="仿宋_GB2312" w:cs="仿宋_GB2312"/>
          <w:szCs w:val="28"/>
          <w:lang w:val="en-US" w:eastAsia="zh-CN"/>
        </w:rPr>
        <w:t>的</w:t>
      </w:r>
      <w:r>
        <w:rPr>
          <w:rFonts w:hint="eastAsia" w:ascii="仿宋_GB2312" w:hAnsi="仿宋_GB2312" w:cs="仿宋_GB2312"/>
          <w:szCs w:val="28"/>
          <w:lang w:eastAsia="zh-CN"/>
        </w:rPr>
        <w:t>测算工作，合理分配资金，</w:t>
      </w:r>
      <w:r>
        <w:rPr>
          <w:rFonts w:hint="eastAsia" w:ascii="仿宋_GB2312" w:hAnsi="仿宋_GB2312" w:cs="仿宋_GB2312"/>
          <w:szCs w:val="28"/>
          <w:lang w:val="en-US" w:eastAsia="zh-CN"/>
        </w:rPr>
        <w:t>确保与工作实际相适应，提高项目整体完成率；</w:t>
      </w:r>
    </w:p>
    <w:p>
      <w:pPr>
        <w:rPr>
          <w:highlight w:val="none"/>
        </w:rPr>
      </w:pPr>
      <w:r>
        <w:rPr>
          <w:rFonts w:hint="eastAsia" w:ascii="仿宋_GB2312" w:hAnsi="仿宋_GB2312" w:cs="仿宋_GB2312"/>
          <w:szCs w:val="28"/>
          <w:lang w:val="en-US" w:eastAsia="zh-CN"/>
        </w:rPr>
        <w:t>2</w:t>
      </w:r>
      <w:r>
        <w:rPr>
          <w:rFonts w:hint="eastAsia" w:ascii="仿宋_GB2312" w:hAnsi="仿宋_GB2312" w:cs="仿宋_GB2312"/>
          <w:szCs w:val="28"/>
          <w:highlight w:val="none"/>
          <w:lang w:val="en-US" w:eastAsia="zh-CN"/>
        </w:rPr>
        <w:t>、进一步做好调研，收集群众对市政工程和城市管理的建议，</w:t>
      </w:r>
      <w:r>
        <w:rPr>
          <w:rFonts w:hint="eastAsia" w:ascii="Times New Roman" w:hAnsi="Times New Roman" w:cs="Times New Roman"/>
          <w:highlight w:val="none"/>
          <w:lang w:eastAsia="zh-CN"/>
        </w:rPr>
        <w:t>加强城市建设宣传工作，提高公共基础设施覆盖率及公共基础设施的使用率。</w:t>
      </w:r>
    </w:p>
    <w:p>
      <w:pPr>
        <w:pStyle w:val="14"/>
        <w:ind w:left="0" w:leftChars="0" w:firstLine="560"/>
        <w:rPr>
          <w:highlight w:val="none"/>
        </w:rPr>
      </w:pPr>
      <w:r>
        <w:rPr>
          <w:rFonts w:hint="eastAsia" w:ascii="宋体" w:hAnsi="宋体" w:cs="宋体"/>
          <w:kern w:val="0"/>
          <w:szCs w:val="21"/>
          <w:highlight w:val="none"/>
          <w:lang w:val="en-US" w:eastAsia="zh-CN"/>
        </w:rPr>
        <w:t>3、</w:t>
      </w:r>
      <w:r>
        <w:rPr>
          <w:rFonts w:hint="eastAsia" w:ascii="宋体" w:hAnsi="宋体" w:eastAsia="仿宋_GB2312" w:cs="宋体"/>
          <w:kern w:val="0"/>
          <w:sz w:val="28"/>
          <w:szCs w:val="21"/>
          <w:lang w:val="en-US" w:eastAsia="zh-CN" w:bidi="ar-SA"/>
        </w:rPr>
        <w:t>加强绩效管理能力，提升绩效管理水平，尤其是加强单位的绩效培训力度，提高单位绩效质量。针对问题及时召开绩效工作会议，做好与各部门的沟通协调，交流项目进程中出现的问题、经验和做法，把各种信息、问题、要求等及时向领导反馈，及时根据项目情况进行调整和整改，推进项目进度。</w:t>
      </w:r>
    </w:p>
    <w:p>
      <w:pPr>
        <w:pStyle w:val="4"/>
        <w:ind w:firstLine="640"/>
      </w:pPr>
      <w:r>
        <w:rPr>
          <w:rFonts w:hint="eastAsia"/>
        </w:rPr>
        <w:t>八、其他需要说明的问题</w:t>
      </w:r>
    </w:p>
    <w:p>
      <w:pPr>
        <w:pStyle w:val="4"/>
        <w:ind w:firstLine="640"/>
        <w:rPr>
          <w:rFonts w:hint="default" w:ascii="宋体" w:hAnsi="宋体" w:eastAsia="仿宋_GB2312" w:cs="宋体"/>
          <w:kern w:val="0"/>
          <w:sz w:val="28"/>
          <w:szCs w:val="21"/>
          <w:highlight w:val="yellow"/>
          <w:lang w:val="en-US" w:eastAsia="zh-CN" w:bidi="ar-SA"/>
        </w:rPr>
      </w:pPr>
      <w:r>
        <w:rPr>
          <w:rFonts w:hint="eastAsia" w:ascii="宋体" w:hAnsi="宋体" w:eastAsia="仿宋_GB2312" w:cs="宋体"/>
          <w:kern w:val="0"/>
          <w:sz w:val="28"/>
          <w:szCs w:val="21"/>
          <w:highlight w:val="none"/>
          <w:lang w:val="en-US" w:eastAsia="zh-CN" w:bidi="ar-SA"/>
        </w:rPr>
        <w:t>我单位对上述项目支出绩效评价报告反映内容的真实性、完整性负责，接受上级部门及社会公众监督。</w:t>
      </w:r>
    </w:p>
    <w:p>
      <w:pPr>
        <w:pStyle w:val="4"/>
        <w:ind w:firstLine="640"/>
      </w:pPr>
      <w:r>
        <w:rPr>
          <w:rFonts w:hint="eastAsia"/>
        </w:rPr>
        <w:t>九、附表</w:t>
      </w:r>
    </w:p>
    <w:p>
      <w:pPr>
        <w:ind w:firstLine="560"/>
      </w:pPr>
      <w:r>
        <w:rPr>
          <w:rFonts w:hint="eastAsia"/>
        </w:rPr>
        <w:t>附件1：项目绩效评价指标体系表和项目综合得分表</w:t>
      </w:r>
    </w:p>
    <w:p>
      <w:pPr>
        <w:ind w:firstLine="560"/>
      </w:pPr>
    </w:p>
    <w:p>
      <w:pPr>
        <w:ind w:firstLine="560"/>
      </w:pPr>
    </w:p>
    <w:sectPr>
      <w:footerReference r:id="rId9"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ind w:firstLine="36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10"/>
                      <w:ind w:firstLine="36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26C19"/>
    <w:multiLevelType w:val="singleLevel"/>
    <w:tmpl w:val="13526C19"/>
    <w:lvl w:ilvl="0" w:tentative="0">
      <w:start w:val="1"/>
      <w:numFmt w:val="decimal"/>
      <w:suff w:val="nothing"/>
      <w:lvlText w:val="（%1）"/>
      <w:lvlJc w:val="left"/>
    </w:lvl>
  </w:abstractNum>
  <w:abstractNum w:abstractNumId="1">
    <w:nsid w:val="1BB7C7BF"/>
    <w:multiLevelType w:val="singleLevel"/>
    <w:tmpl w:val="1BB7C7BF"/>
    <w:lvl w:ilvl="0" w:tentative="0">
      <w:start w:val="1"/>
      <w:numFmt w:val="decimal"/>
      <w:suff w:val="nothing"/>
      <w:lvlText w:val="%1、"/>
      <w:lvlJc w:val="left"/>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2617C1F6"/>
    <w:multiLevelType w:val="singleLevel"/>
    <w:tmpl w:val="2617C1F6"/>
    <w:lvl w:ilvl="0" w:tentative="0">
      <w:start w:val="1"/>
      <w:numFmt w:val="decimal"/>
      <w:suff w:val="nothing"/>
      <w:lvlText w:val="%1、"/>
      <w:lvlJc w:val="left"/>
    </w:lvl>
  </w:abstractNum>
  <w:abstractNum w:abstractNumId="4">
    <w:nsid w:val="4166511E"/>
    <w:multiLevelType w:val="singleLevel"/>
    <w:tmpl w:val="4166511E"/>
    <w:lvl w:ilvl="0" w:tentative="0">
      <w:start w:val="1"/>
      <w:numFmt w:val="chineseCounting"/>
      <w:suff w:val="nothing"/>
      <w:lvlText w:val="（%1）"/>
      <w:lvlJc w:val="left"/>
      <w:rPr>
        <w:rFonts w:hint="eastAsia"/>
      </w:rPr>
    </w:lvl>
  </w:abstractNum>
  <w:abstractNum w:abstractNumId="5">
    <w:nsid w:val="45EA450D"/>
    <w:multiLevelType w:val="singleLevel"/>
    <w:tmpl w:val="45EA450D"/>
    <w:lvl w:ilvl="0" w:tentative="0">
      <w:start w:val="1"/>
      <w:numFmt w:val="decimal"/>
      <w:lvlText w:val="%1."/>
      <w:lvlJc w:val="left"/>
      <w:pPr>
        <w:tabs>
          <w:tab w:val="left" w:pos="312"/>
        </w:tabs>
      </w:pPr>
    </w:lvl>
  </w:abstractNum>
  <w:abstractNum w:abstractNumId="6">
    <w:nsid w:val="51F1A35B"/>
    <w:multiLevelType w:val="singleLevel"/>
    <w:tmpl w:val="51F1A35B"/>
    <w:lvl w:ilvl="0" w:tentative="0">
      <w:start w:val="1"/>
      <w:numFmt w:val="decimal"/>
      <w:lvlText w:val="%1)"/>
      <w:lvlJc w:val="left"/>
      <w:pPr>
        <w:ind w:left="425" w:hanging="425"/>
      </w:pPr>
      <w:rPr>
        <w:rFonts w:hint="default"/>
      </w:rPr>
    </w:lvl>
  </w:abstractNum>
  <w:num w:numId="1">
    <w:abstractNumId w:val="6"/>
  </w:num>
  <w:num w:numId="2">
    <w:abstractNumId w:val="0"/>
  </w:num>
  <w:num w:numId="3">
    <w:abstractNumId w:val="2"/>
  </w:num>
  <w:num w:numId="4">
    <w:abstractNumId w:val="5"/>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kNzk1NTMwZjZkZjlhYTM2ZGE0NGVjYzE2OWJlMzMifQ=="/>
  </w:docVars>
  <w:rsids>
    <w:rsidRoot w:val="00E7675B"/>
    <w:rsid w:val="00073E5D"/>
    <w:rsid w:val="0025093C"/>
    <w:rsid w:val="002A7EA3"/>
    <w:rsid w:val="002D29E8"/>
    <w:rsid w:val="002D346B"/>
    <w:rsid w:val="003D5CD4"/>
    <w:rsid w:val="003E55CF"/>
    <w:rsid w:val="005F6EAE"/>
    <w:rsid w:val="00621473"/>
    <w:rsid w:val="0071334F"/>
    <w:rsid w:val="007A7003"/>
    <w:rsid w:val="008A1816"/>
    <w:rsid w:val="00A279E2"/>
    <w:rsid w:val="00A41A1B"/>
    <w:rsid w:val="00A41D50"/>
    <w:rsid w:val="00A80CC6"/>
    <w:rsid w:val="00B03037"/>
    <w:rsid w:val="00C1706E"/>
    <w:rsid w:val="00C63422"/>
    <w:rsid w:val="00C82431"/>
    <w:rsid w:val="00CF4D48"/>
    <w:rsid w:val="00E170DF"/>
    <w:rsid w:val="00E7675B"/>
    <w:rsid w:val="00EA6A38"/>
    <w:rsid w:val="00EB15A8"/>
    <w:rsid w:val="00F0791A"/>
    <w:rsid w:val="06051441"/>
    <w:rsid w:val="079E3B51"/>
    <w:rsid w:val="0D5C5D18"/>
    <w:rsid w:val="13282824"/>
    <w:rsid w:val="14482E3B"/>
    <w:rsid w:val="16FB306D"/>
    <w:rsid w:val="17B35DB7"/>
    <w:rsid w:val="1CF07E92"/>
    <w:rsid w:val="1D374F4B"/>
    <w:rsid w:val="1DF06CB4"/>
    <w:rsid w:val="1E5D349D"/>
    <w:rsid w:val="26F07365"/>
    <w:rsid w:val="27321DC2"/>
    <w:rsid w:val="276D52E7"/>
    <w:rsid w:val="280020A4"/>
    <w:rsid w:val="289F372B"/>
    <w:rsid w:val="34C551AE"/>
    <w:rsid w:val="35496A51"/>
    <w:rsid w:val="35C22CE9"/>
    <w:rsid w:val="36AD0BA6"/>
    <w:rsid w:val="39330366"/>
    <w:rsid w:val="434A3FB4"/>
    <w:rsid w:val="4B5F0C11"/>
    <w:rsid w:val="52C55120"/>
    <w:rsid w:val="5388752F"/>
    <w:rsid w:val="53F8370C"/>
    <w:rsid w:val="566433A9"/>
    <w:rsid w:val="589271E8"/>
    <w:rsid w:val="5B037C77"/>
    <w:rsid w:val="5B1C1AFF"/>
    <w:rsid w:val="5D301988"/>
    <w:rsid w:val="5FFE1484"/>
    <w:rsid w:val="64491757"/>
    <w:rsid w:val="6E8B7C84"/>
    <w:rsid w:val="6EB12F5A"/>
    <w:rsid w:val="6ECB00E4"/>
    <w:rsid w:val="701F0463"/>
    <w:rsid w:val="73C456D5"/>
    <w:rsid w:val="742832B5"/>
    <w:rsid w:val="76A92DCD"/>
    <w:rsid w:val="76B9450F"/>
    <w:rsid w:val="793346DD"/>
    <w:rsid w:val="7A72608F"/>
    <w:rsid w:val="7BAA1E5E"/>
    <w:rsid w:val="7DC51F61"/>
    <w:rsid w:val="7F287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toc 5"/>
    <w:basedOn w:val="1"/>
    <w:next w:val="1"/>
    <w:qFormat/>
    <w:uiPriority w:val="0"/>
    <w:pPr>
      <w:ind w:left="840"/>
    </w:pPr>
    <w:rPr>
      <w:rFonts w:ascii="Calibri" w:hAnsi="Calibri"/>
      <w:sz w:val="18"/>
      <w:szCs w:val="18"/>
    </w:rPr>
  </w:style>
  <w:style w:type="paragraph" w:styleId="7">
    <w:name w:val="annotation text"/>
    <w:basedOn w:val="1"/>
    <w:qFormat/>
    <w:uiPriority w:val="0"/>
    <w:pPr>
      <w:jc w:val="left"/>
    </w:pPr>
  </w:style>
  <w:style w:type="paragraph" w:styleId="8">
    <w:name w:val="Body Text Indent"/>
    <w:basedOn w:val="1"/>
    <w:link w:val="19"/>
    <w:qFormat/>
    <w:uiPriority w:val="0"/>
    <w:pPr>
      <w:spacing w:after="120"/>
      <w:ind w:left="420" w:leftChars="200"/>
    </w:pPr>
  </w:style>
  <w:style w:type="paragraph" w:styleId="9">
    <w:name w:val="Balloon Text"/>
    <w:basedOn w:val="1"/>
    <w:link w:val="18"/>
    <w:qFormat/>
    <w:uiPriority w:val="0"/>
    <w:pPr>
      <w:spacing w:line="240" w:lineRule="auto"/>
    </w:pPr>
    <w:rPr>
      <w:sz w:val="18"/>
      <w:szCs w:val="1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100" w:beforeAutospacing="1" w:after="100" w:afterAutospacing="1" w:line="240" w:lineRule="auto"/>
      <w:ind w:firstLine="0" w:firstLineChars="0"/>
      <w:jc w:val="left"/>
    </w:pPr>
    <w:rPr>
      <w:rFonts w:ascii="Calibri" w:hAnsi="Calibri" w:eastAsia="宋体"/>
      <w:kern w:val="0"/>
      <w:sz w:val="24"/>
      <w:szCs w:val="22"/>
    </w:rPr>
  </w:style>
  <w:style w:type="paragraph" w:styleId="14">
    <w:name w:val="Body Text First Indent 2"/>
    <w:basedOn w:val="8"/>
    <w:next w:val="1"/>
    <w:link w:val="20"/>
    <w:qFormat/>
    <w:uiPriority w:val="0"/>
    <w:pPr>
      <w:ind w:firstLine="420"/>
    </w:pPr>
  </w:style>
  <w:style w:type="character" w:styleId="17">
    <w:name w:val="annotation reference"/>
    <w:basedOn w:val="16"/>
    <w:qFormat/>
    <w:uiPriority w:val="0"/>
    <w:rPr>
      <w:sz w:val="21"/>
      <w:szCs w:val="21"/>
    </w:rPr>
  </w:style>
  <w:style w:type="character" w:customStyle="1" w:styleId="18">
    <w:name w:val="批注框文本 Char"/>
    <w:basedOn w:val="16"/>
    <w:link w:val="9"/>
    <w:qFormat/>
    <w:uiPriority w:val="0"/>
    <w:rPr>
      <w:rFonts w:ascii="Times New Roman" w:hAnsi="Times New Roman" w:eastAsia="仿宋_GB2312" w:cs="Times New Roman"/>
      <w:kern w:val="2"/>
      <w:sz w:val="18"/>
      <w:szCs w:val="18"/>
    </w:rPr>
  </w:style>
  <w:style w:type="character" w:customStyle="1" w:styleId="19">
    <w:name w:val="正文文本缩进 Char"/>
    <w:basedOn w:val="16"/>
    <w:link w:val="8"/>
    <w:qFormat/>
    <w:uiPriority w:val="0"/>
    <w:rPr>
      <w:rFonts w:ascii="Times New Roman" w:hAnsi="Times New Roman" w:eastAsia="仿宋_GB2312" w:cs="Times New Roman"/>
      <w:kern w:val="2"/>
      <w:sz w:val="28"/>
      <w:szCs w:val="24"/>
    </w:rPr>
  </w:style>
  <w:style w:type="character" w:customStyle="1" w:styleId="20">
    <w:name w:val="正文首行缩进 2 Char"/>
    <w:basedOn w:val="19"/>
    <w:link w:val="1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1671</Words>
  <Characters>9530</Characters>
  <Lines>79</Lines>
  <Paragraphs>22</Paragraphs>
  <TotalTime>57</TotalTime>
  <ScaleCrop>false</ScaleCrop>
  <LinksUpToDate>false</LinksUpToDate>
  <CharactersWithSpaces>11179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2024-08-19T10:36:11Z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